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ACD4" w14:textId="3A45027E" w:rsidR="008E0EC1" w:rsidRPr="00212765" w:rsidRDefault="00CE6829">
      <w:pPr>
        <w:rPr>
          <w:b/>
          <w:bCs/>
          <w:noProof/>
        </w:rPr>
      </w:pPr>
      <w:r w:rsidRPr="00212765">
        <w:rPr>
          <w:b/>
          <w:bCs/>
          <w:noProof/>
        </w:rPr>
        <w:t>Ar</w:t>
      </w:r>
      <w:r w:rsidR="00443FD3" w:rsidRPr="00212765">
        <w:rPr>
          <w:b/>
          <w:bCs/>
          <w:noProof/>
        </w:rPr>
        <w:t>g</w:t>
      </w:r>
      <w:r w:rsidRPr="00212765">
        <w:rPr>
          <w:b/>
          <w:bCs/>
          <w:noProof/>
        </w:rPr>
        <w:t>umentarium zur Vernehmlassungsantwort zur Teilrevision des Epidemiengesetzes</w:t>
      </w:r>
      <w:r w:rsidR="00974409" w:rsidRPr="00212765">
        <w:rPr>
          <w:b/>
          <w:bCs/>
          <w:noProof/>
        </w:rPr>
        <w:t xml:space="preserve"> (EpG)</w:t>
      </w:r>
      <w:r w:rsidR="00842807" w:rsidRPr="00212765">
        <w:rPr>
          <w:b/>
          <w:bCs/>
          <w:noProof/>
        </w:rPr>
        <w:br/>
      </w:r>
      <w:r w:rsidRPr="00212765">
        <w:rPr>
          <w:b/>
          <w:bCs/>
          <w:noProof/>
        </w:rPr>
        <w:t xml:space="preserve">vom </w:t>
      </w:r>
      <w:r w:rsidR="00974409" w:rsidRPr="00212765">
        <w:rPr>
          <w:b/>
          <w:bCs/>
          <w:noProof/>
        </w:rPr>
        <w:t>29. November 2023</w:t>
      </w:r>
    </w:p>
    <w:p w14:paraId="14ADAE12" w14:textId="77777777" w:rsidR="00CE6829" w:rsidRDefault="00CE6829">
      <w:pPr>
        <w:rPr>
          <w:noProof/>
        </w:rPr>
      </w:pPr>
    </w:p>
    <w:p w14:paraId="7B282F1F" w14:textId="03A27465" w:rsidR="008C5B3E" w:rsidRPr="00A87EAA" w:rsidRDefault="00E20612">
      <w:pPr>
        <w:rPr>
          <w:b/>
          <w:bCs/>
          <w:noProof/>
          <w:color w:val="2E74B5" w:themeColor="accent5" w:themeShade="BF"/>
        </w:rPr>
      </w:pPr>
      <w:r>
        <w:rPr>
          <w:b/>
          <w:bCs/>
          <w:noProof/>
          <w:color w:val="2E74B5" w:themeColor="accent5" w:themeShade="BF"/>
        </w:rPr>
        <w:t>Zusammenfassung</w:t>
      </w:r>
      <w:r w:rsidR="008C5B3E" w:rsidRPr="00A87EAA">
        <w:rPr>
          <w:b/>
          <w:bCs/>
          <w:noProof/>
          <w:color w:val="2E74B5" w:themeColor="accent5" w:themeShade="BF"/>
        </w:rPr>
        <w:t>:</w:t>
      </w:r>
    </w:p>
    <w:p w14:paraId="63BF76CB" w14:textId="60465435" w:rsidR="008C5B3E" w:rsidRPr="00A87EAA" w:rsidRDefault="00E20612">
      <w:pPr>
        <w:rPr>
          <w:noProof/>
          <w:color w:val="2E74B5" w:themeColor="accent5" w:themeShade="BF"/>
        </w:rPr>
      </w:pPr>
      <w:r>
        <w:rPr>
          <w:noProof/>
          <w:color w:val="2E74B5" w:themeColor="accent5" w:themeShade="BF"/>
        </w:rPr>
        <w:t>Um zu verhindern, dass die Anpassungen der Internationalen Gesundheitsvorschriften (geplante Abstimmung im Mai 2024), die unreflektiert in das EpG übernommen werden sollen, je zur Anwen-dung kommen und eine erneute COVID-Pandemie-Inszenierung mit den bekannten Massnahmen wiederholt wird, sollte es in den Vernehmlassungsantworten vor allem um</w:t>
      </w:r>
      <w:r w:rsidR="008C5B3E" w:rsidRPr="00A87EAA">
        <w:rPr>
          <w:noProof/>
          <w:color w:val="2E74B5" w:themeColor="accent5" w:themeShade="BF"/>
        </w:rPr>
        <w:t xml:space="preserve"> zwei Dinge</w:t>
      </w:r>
      <w:r>
        <w:rPr>
          <w:noProof/>
          <w:color w:val="2E74B5" w:themeColor="accent5" w:themeShade="BF"/>
        </w:rPr>
        <w:t xml:space="preserve"> gehen</w:t>
      </w:r>
      <w:r w:rsidR="008C5B3E" w:rsidRPr="00A87EAA">
        <w:rPr>
          <w:noProof/>
          <w:color w:val="2E74B5" w:themeColor="accent5" w:themeShade="BF"/>
        </w:rPr>
        <w:t>:</w:t>
      </w:r>
    </w:p>
    <w:p w14:paraId="1EF292E5" w14:textId="5A879A0D" w:rsidR="008C5B3E" w:rsidRPr="00A87EAA" w:rsidRDefault="00771CA3" w:rsidP="008C5B3E">
      <w:pPr>
        <w:pStyle w:val="Listenabsatz"/>
        <w:numPr>
          <w:ilvl w:val="0"/>
          <w:numId w:val="4"/>
        </w:numPr>
        <w:rPr>
          <w:noProof/>
          <w:color w:val="2E74B5" w:themeColor="accent5" w:themeShade="BF"/>
        </w:rPr>
      </w:pPr>
      <w:r>
        <w:rPr>
          <w:noProof/>
          <w:color w:val="2E74B5" w:themeColor="accent5" w:themeShade="BF"/>
        </w:rPr>
        <w:t xml:space="preserve">Um die </w:t>
      </w:r>
      <w:r w:rsidR="00502DF9">
        <w:rPr>
          <w:noProof/>
          <w:color w:val="2E74B5" w:themeColor="accent5" w:themeShade="BF"/>
        </w:rPr>
        <w:t>unbestimmte</w:t>
      </w:r>
      <w:r>
        <w:rPr>
          <w:noProof/>
          <w:color w:val="2E74B5" w:themeColor="accent5" w:themeShade="BF"/>
        </w:rPr>
        <w:t xml:space="preserve">n </w:t>
      </w:r>
      <w:r w:rsidR="00502DF9">
        <w:rPr>
          <w:noProof/>
          <w:color w:val="2E74B5" w:themeColor="accent5" w:themeShade="BF"/>
        </w:rPr>
        <w:t xml:space="preserve">Rechtsbegriffe </w:t>
      </w:r>
      <w:r>
        <w:rPr>
          <w:noProof/>
          <w:color w:val="2E74B5" w:themeColor="accent5" w:themeShade="BF"/>
        </w:rPr>
        <w:t>zu konkretisieren</w:t>
      </w:r>
      <w:r w:rsidR="00502DF9">
        <w:rPr>
          <w:noProof/>
          <w:color w:val="2E74B5" w:themeColor="accent5" w:themeShade="BF"/>
        </w:rPr>
        <w:t xml:space="preserve">, </w:t>
      </w:r>
      <w:r>
        <w:rPr>
          <w:noProof/>
          <w:color w:val="2E74B5" w:themeColor="accent5" w:themeShade="BF"/>
        </w:rPr>
        <w:t xml:space="preserve">ist sicherzustellen, </w:t>
      </w:r>
      <w:r w:rsidR="008C5B3E" w:rsidRPr="00A87EAA">
        <w:rPr>
          <w:noProof/>
          <w:color w:val="2E74B5" w:themeColor="accent5" w:themeShade="BF"/>
        </w:rPr>
        <w:t>dass es</w:t>
      </w:r>
      <w:r>
        <w:rPr>
          <w:noProof/>
          <w:color w:val="2E74B5" w:themeColor="accent5" w:themeShade="BF"/>
        </w:rPr>
        <w:t xml:space="preserve"> </w:t>
      </w:r>
      <w:r w:rsidR="008C5B3E" w:rsidRPr="00F41393">
        <w:rPr>
          <w:b/>
          <w:bCs/>
          <w:noProof/>
          <w:color w:val="2E74B5" w:themeColor="accent5" w:themeShade="BF"/>
        </w:rPr>
        <w:t>NIE zur Ausrufung einer besonderen oder ausserordentlichen Lage</w:t>
      </w:r>
      <w:r w:rsidR="008C5B3E" w:rsidRPr="00A87EAA">
        <w:rPr>
          <w:noProof/>
          <w:color w:val="2E74B5" w:themeColor="accent5" w:themeShade="BF"/>
        </w:rPr>
        <w:t xml:space="preserve"> kommt</w:t>
      </w:r>
      <w:r w:rsidR="00502DF9">
        <w:rPr>
          <w:noProof/>
          <w:color w:val="2E74B5" w:themeColor="accent5" w:themeShade="BF"/>
        </w:rPr>
        <w:t xml:space="preserve"> und </w:t>
      </w:r>
      <w:r w:rsidR="00672E54">
        <w:rPr>
          <w:noProof/>
          <w:color w:val="2E74B5" w:themeColor="accent5" w:themeShade="BF"/>
        </w:rPr>
        <w:t>schon gar</w:t>
      </w:r>
      <w:r w:rsidR="00502DF9">
        <w:rPr>
          <w:noProof/>
          <w:color w:val="2E74B5" w:themeColor="accent5" w:themeShade="BF"/>
        </w:rPr>
        <w:t xml:space="preserve"> nicht durch eine (ausländische) Drittpartei</w:t>
      </w:r>
      <w:r w:rsidR="00075E7C">
        <w:rPr>
          <w:noProof/>
          <w:color w:val="2E74B5" w:themeColor="accent5" w:themeShade="BF"/>
        </w:rPr>
        <w:t xml:space="preserve"> ohne </w:t>
      </w:r>
      <w:r w:rsidR="0033708F">
        <w:rPr>
          <w:noProof/>
          <w:color w:val="2E74B5" w:themeColor="accent5" w:themeShade="BF"/>
        </w:rPr>
        <w:t xml:space="preserve">Bestätigung / </w:t>
      </w:r>
      <w:r w:rsidR="00075E7C">
        <w:rPr>
          <w:noProof/>
          <w:color w:val="2E74B5" w:themeColor="accent5" w:themeShade="BF"/>
        </w:rPr>
        <w:t>Zustimmung der Schweizer Regie</w:t>
      </w:r>
      <w:r w:rsidR="007D3158">
        <w:rPr>
          <w:noProof/>
          <w:color w:val="2E74B5" w:themeColor="accent5" w:themeShade="BF"/>
        </w:rPr>
        <w:t>-</w:t>
      </w:r>
      <w:r w:rsidR="00075E7C">
        <w:rPr>
          <w:noProof/>
          <w:color w:val="2E74B5" w:themeColor="accent5" w:themeShade="BF"/>
        </w:rPr>
        <w:t>rung</w:t>
      </w:r>
      <w:r w:rsidR="007D3158">
        <w:rPr>
          <w:noProof/>
          <w:color w:val="2E74B5" w:themeColor="accent5" w:themeShade="BF"/>
        </w:rPr>
        <w:t>.</w:t>
      </w:r>
    </w:p>
    <w:p w14:paraId="54966E0F" w14:textId="71FEADE7" w:rsidR="008C5B3E" w:rsidRPr="00761227" w:rsidRDefault="008C5B3E" w:rsidP="00761227">
      <w:pPr>
        <w:pStyle w:val="Listenabsatz"/>
        <w:numPr>
          <w:ilvl w:val="0"/>
          <w:numId w:val="4"/>
        </w:numPr>
        <w:rPr>
          <w:noProof/>
          <w:color w:val="2E74B5" w:themeColor="accent5" w:themeShade="BF"/>
        </w:rPr>
      </w:pPr>
      <w:r w:rsidRPr="00A87EAA">
        <w:rPr>
          <w:noProof/>
          <w:color w:val="2E74B5" w:themeColor="accent5" w:themeShade="BF"/>
        </w:rPr>
        <w:t>Sollte</w:t>
      </w:r>
      <w:r w:rsidR="00761227">
        <w:rPr>
          <w:noProof/>
          <w:color w:val="2E74B5" w:themeColor="accent5" w:themeShade="BF"/>
        </w:rPr>
        <w:t xml:space="preserve"> trotzdem </w:t>
      </w:r>
      <w:r w:rsidR="0033708F">
        <w:rPr>
          <w:noProof/>
          <w:color w:val="2E74B5" w:themeColor="accent5" w:themeShade="BF"/>
        </w:rPr>
        <w:t xml:space="preserve">noch </w:t>
      </w:r>
      <w:r w:rsidR="00502DF9">
        <w:rPr>
          <w:noProof/>
          <w:color w:val="2E74B5" w:themeColor="accent5" w:themeShade="BF"/>
        </w:rPr>
        <w:t xml:space="preserve">einmal </w:t>
      </w:r>
      <w:r w:rsidR="00761227">
        <w:rPr>
          <w:noProof/>
          <w:color w:val="2E74B5" w:themeColor="accent5" w:themeShade="BF"/>
        </w:rPr>
        <w:t>eine besondere oder ausserordentliche Lage ausgerufen wer</w:t>
      </w:r>
      <w:r w:rsidR="00DB4EFC">
        <w:rPr>
          <w:noProof/>
          <w:color w:val="2E74B5" w:themeColor="accent5" w:themeShade="BF"/>
        </w:rPr>
        <w:t>-</w:t>
      </w:r>
      <w:r w:rsidR="00761227">
        <w:rPr>
          <w:noProof/>
          <w:color w:val="2E74B5" w:themeColor="accent5" w:themeShade="BF"/>
        </w:rPr>
        <w:t>den</w:t>
      </w:r>
      <w:r w:rsidRPr="00A87EAA">
        <w:rPr>
          <w:noProof/>
          <w:color w:val="2E74B5" w:themeColor="accent5" w:themeShade="BF"/>
        </w:rPr>
        <w:t xml:space="preserve">, dann muss sichergestellt werden, dass </w:t>
      </w:r>
      <w:r w:rsidRPr="00F41393">
        <w:rPr>
          <w:b/>
          <w:bCs/>
          <w:noProof/>
          <w:color w:val="2E74B5" w:themeColor="accent5" w:themeShade="BF"/>
        </w:rPr>
        <w:t xml:space="preserve">niemand irgendeine </w:t>
      </w:r>
      <w:r w:rsidR="00761227">
        <w:rPr>
          <w:b/>
          <w:bCs/>
          <w:noProof/>
          <w:color w:val="2E74B5" w:themeColor="accent5" w:themeShade="BF"/>
        </w:rPr>
        <w:t xml:space="preserve">bislang </w:t>
      </w:r>
      <w:r w:rsidRPr="00F41393">
        <w:rPr>
          <w:b/>
          <w:bCs/>
          <w:noProof/>
          <w:color w:val="2E74B5" w:themeColor="accent5" w:themeShade="BF"/>
        </w:rPr>
        <w:t>unbekannte</w:t>
      </w:r>
      <w:r w:rsidR="00761227">
        <w:rPr>
          <w:b/>
          <w:bCs/>
          <w:noProof/>
          <w:color w:val="2E74B5" w:themeColor="accent5" w:themeShade="BF"/>
        </w:rPr>
        <w:t xml:space="preserve"> und / oder</w:t>
      </w:r>
      <w:r w:rsidRPr="00761227">
        <w:rPr>
          <w:b/>
          <w:bCs/>
          <w:noProof/>
          <w:color w:val="2E74B5" w:themeColor="accent5" w:themeShade="BF"/>
        </w:rPr>
        <w:t xml:space="preserve"> ungeprüfte Substanz zwangsverabreicht bekommt</w:t>
      </w:r>
      <w:r w:rsidRPr="00761227">
        <w:rPr>
          <w:noProof/>
          <w:color w:val="2E74B5" w:themeColor="accent5" w:themeShade="BF"/>
        </w:rPr>
        <w:t xml:space="preserve"> (</w:t>
      </w:r>
      <w:r w:rsidR="00DB4EFC">
        <w:rPr>
          <w:noProof/>
          <w:color w:val="2E74B5" w:themeColor="accent5" w:themeShade="BF"/>
        </w:rPr>
        <w:t xml:space="preserve">d.h. </w:t>
      </w:r>
      <w:r w:rsidRPr="00761227">
        <w:rPr>
          <w:noProof/>
          <w:color w:val="2E74B5" w:themeColor="accent5" w:themeShade="BF"/>
        </w:rPr>
        <w:t>Impfzwang oder ähnliches)</w:t>
      </w:r>
      <w:r w:rsidR="00F964FE">
        <w:rPr>
          <w:noProof/>
          <w:color w:val="2E74B5" w:themeColor="accent5" w:themeShade="BF"/>
        </w:rPr>
        <w:t>, die eine bedingte (=Notfall</w:t>
      </w:r>
      <w:r w:rsidR="00DB4EFC">
        <w:rPr>
          <w:noProof/>
          <w:color w:val="2E74B5" w:themeColor="accent5" w:themeShade="BF"/>
        </w:rPr>
        <w:t>-</w:t>
      </w:r>
      <w:r w:rsidR="00F964FE">
        <w:rPr>
          <w:noProof/>
          <w:color w:val="2E74B5" w:themeColor="accent5" w:themeShade="BF"/>
        </w:rPr>
        <w:t>)Zulassung bekommen hat</w:t>
      </w:r>
      <w:r w:rsidRPr="00761227">
        <w:rPr>
          <w:noProof/>
          <w:color w:val="2E74B5" w:themeColor="accent5" w:themeShade="BF"/>
        </w:rPr>
        <w:t>.</w:t>
      </w:r>
      <w:r w:rsidR="00672E54" w:rsidRPr="00761227">
        <w:rPr>
          <w:noProof/>
          <w:color w:val="2E74B5" w:themeColor="accent5" w:themeShade="BF"/>
        </w:rPr>
        <w:t xml:space="preserve"> In diesem Zusammenhang ist </w:t>
      </w:r>
      <w:r w:rsidR="008D3963" w:rsidRPr="00761227">
        <w:rPr>
          <w:noProof/>
          <w:color w:val="2E74B5" w:themeColor="accent5" w:themeShade="BF"/>
        </w:rPr>
        <w:t xml:space="preserve">zudem </w:t>
      </w:r>
      <w:r w:rsidR="00672E54" w:rsidRPr="00761227">
        <w:rPr>
          <w:noProof/>
          <w:color w:val="2E74B5" w:themeColor="accent5" w:themeShade="BF"/>
        </w:rPr>
        <w:t xml:space="preserve">der </w:t>
      </w:r>
      <w:r w:rsidR="00672E54" w:rsidRPr="00761227">
        <w:rPr>
          <w:b/>
          <w:bCs/>
          <w:noProof/>
          <w:color w:val="2E74B5" w:themeColor="accent5" w:themeShade="BF"/>
        </w:rPr>
        <w:t>Begriff</w:t>
      </w:r>
      <w:r w:rsidR="008D3963" w:rsidRPr="00761227">
        <w:rPr>
          <w:b/>
          <w:bCs/>
          <w:noProof/>
          <w:color w:val="2E74B5" w:themeColor="accent5" w:themeShade="BF"/>
        </w:rPr>
        <w:t xml:space="preserve"> der</w:t>
      </w:r>
      <w:r w:rsidR="00672E54" w:rsidRPr="00761227">
        <w:rPr>
          <w:b/>
          <w:bCs/>
          <w:noProof/>
          <w:color w:val="2E74B5" w:themeColor="accent5" w:themeShade="BF"/>
        </w:rPr>
        <w:t xml:space="preserve"> Impfung </w:t>
      </w:r>
      <w:r w:rsidR="00E3218C">
        <w:rPr>
          <w:b/>
          <w:bCs/>
          <w:noProof/>
          <w:color w:val="2E74B5" w:themeColor="accent5" w:themeShade="BF"/>
        </w:rPr>
        <w:t xml:space="preserve">genau </w:t>
      </w:r>
      <w:r w:rsidR="00672E54" w:rsidRPr="00761227">
        <w:rPr>
          <w:b/>
          <w:bCs/>
          <w:noProof/>
          <w:color w:val="2E74B5" w:themeColor="accent5" w:themeShade="BF"/>
        </w:rPr>
        <w:t>zu definieren</w:t>
      </w:r>
      <w:r w:rsidR="00672E54" w:rsidRPr="00761227">
        <w:rPr>
          <w:noProof/>
          <w:color w:val="2E74B5" w:themeColor="accent5" w:themeShade="BF"/>
        </w:rPr>
        <w:t xml:space="preserve">, denn es </w:t>
      </w:r>
      <w:r w:rsidR="008D3963" w:rsidRPr="00761227">
        <w:rPr>
          <w:noProof/>
          <w:color w:val="2E74B5" w:themeColor="accent5" w:themeShade="BF"/>
        </w:rPr>
        <w:t xml:space="preserve">kann </w:t>
      </w:r>
      <w:r w:rsidR="00672E54" w:rsidRPr="00761227">
        <w:rPr>
          <w:noProof/>
          <w:color w:val="2E74B5" w:themeColor="accent5" w:themeShade="BF"/>
        </w:rPr>
        <w:t>erst recht niemand</w:t>
      </w:r>
      <w:r w:rsidR="008D3963" w:rsidRPr="00761227">
        <w:rPr>
          <w:noProof/>
          <w:color w:val="2E74B5" w:themeColor="accent5" w:themeShade="BF"/>
        </w:rPr>
        <w:t xml:space="preserve"> </w:t>
      </w:r>
      <w:r w:rsidR="00672E54" w:rsidRPr="00761227">
        <w:rPr>
          <w:noProof/>
          <w:color w:val="2E74B5" w:themeColor="accent5" w:themeShade="BF"/>
        </w:rPr>
        <w:t>zu einer Therapie (</w:t>
      </w:r>
      <w:r w:rsidR="00DB4EFC">
        <w:rPr>
          <w:noProof/>
          <w:color w:val="2E74B5" w:themeColor="accent5" w:themeShade="BF"/>
        </w:rPr>
        <w:t xml:space="preserve">die </w:t>
      </w:r>
      <w:r w:rsidR="00672E54" w:rsidRPr="00761227">
        <w:rPr>
          <w:noProof/>
          <w:color w:val="2E74B5" w:themeColor="accent5" w:themeShade="BF"/>
        </w:rPr>
        <w:t xml:space="preserve">mRNA-Impfung ist </w:t>
      </w:r>
      <w:r w:rsidR="00DB4EFC">
        <w:rPr>
          <w:noProof/>
          <w:color w:val="2E74B5" w:themeColor="accent5" w:themeShade="BF"/>
        </w:rPr>
        <w:t xml:space="preserve">eine </w:t>
      </w:r>
      <w:r w:rsidR="00672E54" w:rsidRPr="00761227">
        <w:rPr>
          <w:noProof/>
          <w:color w:val="2E74B5" w:themeColor="accent5" w:themeShade="BF"/>
        </w:rPr>
        <w:t>Gentherapie) gezwungen werden</w:t>
      </w:r>
      <w:r w:rsidR="008D3963" w:rsidRPr="00761227">
        <w:rPr>
          <w:noProof/>
          <w:color w:val="2E74B5" w:themeColor="accent5" w:themeShade="BF"/>
        </w:rPr>
        <w:t>. Eine Therapie bekämpft Symp</w:t>
      </w:r>
      <w:r w:rsidR="00DB4EFC">
        <w:rPr>
          <w:noProof/>
          <w:color w:val="2E74B5" w:themeColor="accent5" w:themeShade="BF"/>
        </w:rPr>
        <w:t>-</w:t>
      </w:r>
      <w:r w:rsidR="008D3963" w:rsidRPr="00761227">
        <w:rPr>
          <w:noProof/>
          <w:color w:val="2E74B5" w:themeColor="accent5" w:themeShade="BF"/>
        </w:rPr>
        <w:t xml:space="preserve">tome, nicht </w:t>
      </w:r>
      <w:r w:rsidR="00DB4EFC">
        <w:rPr>
          <w:noProof/>
          <w:color w:val="2E74B5" w:themeColor="accent5" w:themeShade="BF"/>
        </w:rPr>
        <w:t xml:space="preserve">den </w:t>
      </w:r>
      <w:r w:rsidR="0062297F" w:rsidRPr="00761227">
        <w:rPr>
          <w:noProof/>
          <w:color w:val="2E74B5" w:themeColor="accent5" w:themeShade="BF"/>
        </w:rPr>
        <w:t>erstmaligen Ausbruch einer Erkrankung.</w:t>
      </w:r>
      <w:r w:rsidR="00770A8D">
        <w:rPr>
          <w:noProof/>
          <w:color w:val="2E74B5" w:themeColor="accent5" w:themeShade="BF"/>
        </w:rPr>
        <w:t xml:space="preserve"> Zudem ist zu verhindern, dass die Pharma</w:t>
      </w:r>
      <w:r w:rsidR="00DB4EFC">
        <w:rPr>
          <w:noProof/>
          <w:color w:val="2E74B5" w:themeColor="accent5" w:themeShade="BF"/>
        </w:rPr>
        <w:t>l</w:t>
      </w:r>
      <w:r w:rsidR="00770A8D">
        <w:rPr>
          <w:noProof/>
          <w:color w:val="2E74B5" w:themeColor="accent5" w:themeShade="BF"/>
        </w:rPr>
        <w:t>ieferanten ihre Produkte umdeklarieren, a</w:t>
      </w:r>
      <w:r w:rsidR="00E057A6">
        <w:rPr>
          <w:noProof/>
          <w:color w:val="2E74B5" w:themeColor="accent5" w:themeShade="BF"/>
        </w:rPr>
        <w:t>ls</w:t>
      </w:r>
      <w:r w:rsidR="00770A8D">
        <w:rPr>
          <w:noProof/>
          <w:color w:val="2E74B5" w:themeColor="accent5" w:themeShade="BF"/>
        </w:rPr>
        <w:t>o eine bewusste Täuschung der Öffent</w:t>
      </w:r>
      <w:r w:rsidR="00071D92">
        <w:rPr>
          <w:noProof/>
          <w:color w:val="2E74B5" w:themeColor="accent5" w:themeShade="BF"/>
        </w:rPr>
        <w:t>-</w:t>
      </w:r>
      <w:r w:rsidR="00770A8D">
        <w:rPr>
          <w:noProof/>
          <w:color w:val="2E74B5" w:themeColor="accent5" w:themeShade="BF"/>
        </w:rPr>
        <w:t>lichkeit vornehmen.</w:t>
      </w:r>
    </w:p>
    <w:p w14:paraId="133965D8" w14:textId="77777777" w:rsidR="00162B8B" w:rsidRPr="001E34C0" w:rsidRDefault="00162B8B">
      <w:pPr>
        <w:rPr>
          <w:b/>
          <w:bCs/>
          <w:noProof/>
        </w:rPr>
      </w:pPr>
    </w:p>
    <w:p w14:paraId="7C232C1C" w14:textId="6A88C6C1" w:rsidR="008C5B3E" w:rsidRPr="001E34C0" w:rsidRDefault="00162B8B">
      <w:pPr>
        <w:rPr>
          <w:b/>
          <w:bCs/>
          <w:noProof/>
        </w:rPr>
      </w:pPr>
      <w:r w:rsidRPr="001E34C0">
        <w:rPr>
          <w:b/>
          <w:bCs/>
          <w:noProof/>
        </w:rPr>
        <w:t>Ergebnis des Vergleichs beider Versionen (</w:t>
      </w:r>
      <w:r w:rsidR="00AA665A" w:rsidRPr="001E34C0">
        <w:rPr>
          <w:b/>
          <w:bCs/>
          <w:noProof/>
        </w:rPr>
        <w:t xml:space="preserve">EpG </w:t>
      </w:r>
      <w:r w:rsidRPr="001E34C0">
        <w:rPr>
          <w:b/>
          <w:bCs/>
          <w:noProof/>
        </w:rPr>
        <w:t>alt</w:t>
      </w:r>
      <w:r w:rsidR="00414AC1">
        <w:rPr>
          <w:b/>
          <w:bCs/>
          <w:noProof/>
        </w:rPr>
        <w:t xml:space="preserve"> und neu</w:t>
      </w:r>
      <w:r w:rsidRPr="001E34C0">
        <w:rPr>
          <w:b/>
          <w:bCs/>
          <w:noProof/>
        </w:rPr>
        <w:t>):</w:t>
      </w:r>
    </w:p>
    <w:p w14:paraId="009FF700" w14:textId="7FEF3EC6" w:rsidR="00CE6829" w:rsidRDefault="005572EF" w:rsidP="00974409">
      <w:pPr>
        <w:pStyle w:val="Listenabsatz"/>
        <w:numPr>
          <w:ilvl w:val="0"/>
          <w:numId w:val="1"/>
        </w:numPr>
        <w:rPr>
          <w:noProof/>
        </w:rPr>
      </w:pPr>
      <w:r>
        <w:rPr>
          <w:noProof/>
        </w:rPr>
        <w:t>Nahezu jeder</w:t>
      </w:r>
      <w:r w:rsidR="00974409">
        <w:rPr>
          <w:noProof/>
        </w:rPr>
        <w:t xml:space="preserve"> Artikel wurde</w:t>
      </w:r>
      <w:r>
        <w:rPr>
          <w:noProof/>
        </w:rPr>
        <w:t xml:space="preserve"> geändert oder ergänzt</w:t>
      </w:r>
      <w:r w:rsidR="00974409">
        <w:rPr>
          <w:noProof/>
        </w:rPr>
        <w:t>.</w:t>
      </w:r>
    </w:p>
    <w:p w14:paraId="7AD07724" w14:textId="2C8C30BF" w:rsidR="00974409" w:rsidRDefault="00974409" w:rsidP="00974409">
      <w:pPr>
        <w:pStyle w:val="Listenabsatz"/>
        <w:numPr>
          <w:ilvl w:val="0"/>
          <w:numId w:val="1"/>
        </w:numPr>
        <w:rPr>
          <w:noProof/>
        </w:rPr>
      </w:pPr>
      <w:r>
        <w:rPr>
          <w:noProof/>
        </w:rPr>
        <w:t xml:space="preserve">Bei einem Umfang von 87 Artikeln EpG sind das </w:t>
      </w:r>
      <w:r w:rsidRPr="00145CC3">
        <w:rPr>
          <w:b/>
          <w:bCs/>
          <w:noProof/>
        </w:rPr>
        <w:t>sehr umfassende Änderungen</w:t>
      </w:r>
      <w:r w:rsidR="0055687D">
        <w:rPr>
          <w:noProof/>
        </w:rPr>
        <w:t xml:space="preserve"> und die Frage stellt sich, warum es sich nur um eine </w:t>
      </w:r>
      <w:r w:rsidR="00145CC3">
        <w:rPr>
          <w:noProof/>
        </w:rPr>
        <w:t>“</w:t>
      </w:r>
      <w:r w:rsidR="0055687D">
        <w:rPr>
          <w:noProof/>
        </w:rPr>
        <w:t>Teilrevision</w:t>
      </w:r>
      <w:r w:rsidR="00145CC3">
        <w:rPr>
          <w:noProof/>
        </w:rPr>
        <w:t>“</w:t>
      </w:r>
      <w:r w:rsidR="0055687D">
        <w:rPr>
          <w:noProof/>
        </w:rPr>
        <w:t xml:space="preserve"> handeln soll</w:t>
      </w:r>
      <w:r>
        <w:rPr>
          <w:noProof/>
        </w:rPr>
        <w:t>.</w:t>
      </w:r>
      <w:r w:rsidR="00826B68">
        <w:rPr>
          <w:noProof/>
        </w:rPr>
        <w:t xml:space="preserve"> </w:t>
      </w:r>
      <w:r w:rsidR="00855824">
        <w:rPr>
          <w:noProof/>
        </w:rPr>
        <w:t>Die Tragfähigkeit der Ände-rungen ist zudem enorm.</w:t>
      </w:r>
    </w:p>
    <w:p w14:paraId="0FB9373F" w14:textId="0DCA1B8E" w:rsidR="00974409" w:rsidRPr="00F21726" w:rsidRDefault="00974409" w:rsidP="00974409">
      <w:pPr>
        <w:pStyle w:val="Listenabsatz"/>
        <w:numPr>
          <w:ilvl w:val="0"/>
          <w:numId w:val="1"/>
        </w:numPr>
        <w:rPr>
          <w:b/>
          <w:bCs/>
          <w:noProof/>
        </w:rPr>
      </w:pPr>
      <w:r w:rsidRPr="00F21726">
        <w:rPr>
          <w:b/>
          <w:bCs/>
          <w:noProof/>
        </w:rPr>
        <w:t xml:space="preserve">Bei genauem Hinsehen ist </w:t>
      </w:r>
      <w:r w:rsidR="00432D76" w:rsidRPr="00F21726">
        <w:rPr>
          <w:b/>
          <w:bCs/>
          <w:noProof/>
        </w:rPr>
        <w:t>im Grunde keine</w:t>
      </w:r>
      <w:r w:rsidRPr="00F21726">
        <w:rPr>
          <w:b/>
          <w:bCs/>
          <w:noProof/>
        </w:rPr>
        <w:t xml:space="preserve"> Änderung akzeptabel.</w:t>
      </w:r>
    </w:p>
    <w:p w14:paraId="294F0012" w14:textId="740F6E7D" w:rsidR="00974409" w:rsidRDefault="00974409" w:rsidP="00086AE8">
      <w:pPr>
        <w:rPr>
          <w:noProof/>
        </w:rPr>
      </w:pPr>
      <w:r w:rsidRPr="00086AE8">
        <w:rPr>
          <w:b/>
          <w:bCs/>
          <w:noProof/>
        </w:rPr>
        <w:t>ERGO:</w:t>
      </w:r>
      <w:r>
        <w:rPr>
          <w:noProof/>
        </w:rPr>
        <w:t xml:space="preserve"> Eine Vernehmlassungsantwort mit Kommentierung </w:t>
      </w:r>
      <w:r w:rsidR="00432D76">
        <w:rPr>
          <w:noProof/>
        </w:rPr>
        <w:t>eines jeden</w:t>
      </w:r>
      <w:r>
        <w:rPr>
          <w:noProof/>
        </w:rPr>
        <w:t xml:space="preserve"> geänderten Artikels ist </w:t>
      </w:r>
      <w:r w:rsidR="00E264D6">
        <w:rPr>
          <w:noProof/>
        </w:rPr>
        <w:t>müh</w:t>
      </w:r>
      <w:r w:rsidR="00F21726">
        <w:rPr>
          <w:noProof/>
        </w:rPr>
        <w:t>-</w:t>
      </w:r>
      <w:r w:rsidR="00E264D6">
        <w:rPr>
          <w:noProof/>
        </w:rPr>
        <w:t>selig</w:t>
      </w:r>
      <w:r w:rsidR="00432D76">
        <w:rPr>
          <w:noProof/>
        </w:rPr>
        <w:t xml:space="preserve"> und auch nicht zwangsläufig zielführend, da es nicht um das Klein-Klein geht, sondern </w:t>
      </w:r>
      <w:r w:rsidR="00F21726">
        <w:rPr>
          <w:noProof/>
        </w:rPr>
        <w:t xml:space="preserve">um </w:t>
      </w:r>
      <w:r w:rsidR="00432D76">
        <w:rPr>
          <w:noProof/>
        </w:rPr>
        <w:t xml:space="preserve">das grosse Ganze, das beabsichtigt ist (aus Sicht der WHO und ihrem One-Health-Ansatz </w:t>
      </w:r>
      <w:r w:rsidR="00ED7924">
        <w:rPr>
          <w:noProof/>
        </w:rPr>
        <w:t xml:space="preserve">ist es - kurz gesagt – die </w:t>
      </w:r>
      <w:r w:rsidR="00432D76">
        <w:rPr>
          <w:noProof/>
        </w:rPr>
        <w:t>Dauerimpfung von Mensch und Tier).</w:t>
      </w:r>
      <w:r w:rsidR="00086AE8">
        <w:rPr>
          <w:noProof/>
        </w:rPr>
        <w:t xml:space="preserve"> Und genau das gilt es zu verhindern! </w:t>
      </w:r>
      <w:r w:rsidR="00086AE8" w:rsidRPr="00F21726">
        <w:rPr>
          <w:b/>
          <w:bCs/>
          <w:noProof/>
        </w:rPr>
        <w:t>Es darf keinen One-Health-Ansatz im neuen EpG geben!</w:t>
      </w:r>
    </w:p>
    <w:p w14:paraId="52D83AD2" w14:textId="7424395C" w:rsidR="002F70B2" w:rsidRDefault="00086AE8" w:rsidP="00086AE8">
      <w:pPr>
        <w:rPr>
          <w:noProof/>
        </w:rPr>
      </w:pPr>
      <w:r>
        <w:rPr>
          <w:noProof/>
        </w:rPr>
        <w:t>Mit einer</w:t>
      </w:r>
      <w:r w:rsidR="00963C34">
        <w:rPr>
          <w:noProof/>
        </w:rPr>
        <w:t xml:space="preserve"> Kommentierung der einzelnen neuen Artikel</w:t>
      </w:r>
      <w:r>
        <w:rPr>
          <w:noProof/>
        </w:rPr>
        <w:t xml:space="preserve"> und</w:t>
      </w:r>
      <w:r w:rsidR="00963C34">
        <w:rPr>
          <w:noProof/>
        </w:rPr>
        <w:t xml:space="preserve"> dem Ziel</w:t>
      </w:r>
      <w:r>
        <w:rPr>
          <w:noProof/>
        </w:rPr>
        <w:t xml:space="preserve"> bzw. </w:t>
      </w:r>
      <w:r w:rsidR="00E264D6">
        <w:rPr>
          <w:noProof/>
        </w:rPr>
        <w:t xml:space="preserve">der Hoffnung </w:t>
      </w:r>
      <w:r w:rsidR="00963C34">
        <w:rPr>
          <w:noProof/>
        </w:rPr>
        <w:t>einer Umfor</w:t>
      </w:r>
      <w:r w:rsidR="00F279AF">
        <w:rPr>
          <w:noProof/>
        </w:rPr>
        <w:t>-</w:t>
      </w:r>
      <w:r w:rsidR="00963C34">
        <w:rPr>
          <w:noProof/>
        </w:rPr>
        <w:t xml:space="preserve">mulierung oder Streichung </w:t>
      </w:r>
      <w:r w:rsidR="00F279AF">
        <w:rPr>
          <w:noProof/>
        </w:rPr>
        <w:t>w</w:t>
      </w:r>
      <w:r w:rsidR="00AC7283">
        <w:rPr>
          <w:noProof/>
        </w:rPr>
        <w:t>ürden zudem nur</w:t>
      </w:r>
      <w:r w:rsidR="00963C34">
        <w:rPr>
          <w:noProof/>
        </w:rPr>
        <w:t xml:space="preserve"> die Symptome der Ausw</w:t>
      </w:r>
      <w:r w:rsidR="00FF566C">
        <w:rPr>
          <w:noProof/>
        </w:rPr>
        <w:t>ir</w:t>
      </w:r>
      <w:r w:rsidR="00963C34">
        <w:rPr>
          <w:noProof/>
        </w:rPr>
        <w:t>kungen des Gesetzes</w:t>
      </w:r>
      <w:r w:rsidR="00F279AF">
        <w:rPr>
          <w:noProof/>
        </w:rPr>
        <w:t xml:space="preserve"> (Mass</w:t>
      </w:r>
      <w:r w:rsidR="00791854">
        <w:rPr>
          <w:noProof/>
        </w:rPr>
        <w:t>-</w:t>
      </w:r>
      <w:r w:rsidR="00F279AF">
        <w:rPr>
          <w:noProof/>
        </w:rPr>
        <w:t>nahmenvollzug)</w:t>
      </w:r>
      <w:r w:rsidR="00963C34">
        <w:rPr>
          <w:noProof/>
        </w:rPr>
        <w:t xml:space="preserve">, </w:t>
      </w:r>
      <w:r w:rsidR="00F279AF">
        <w:rPr>
          <w:noProof/>
        </w:rPr>
        <w:t xml:space="preserve">aber </w:t>
      </w:r>
      <w:r w:rsidR="00963C34">
        <w:rPr>
          <w:noProof/>
        </w:rPr>
        <w:t>nicht deren Ursache</w:t>
      </w:r>
      <w:r w:rsidR="00F279AF">
        <w:rPr>
          <w:noProof/>
        </w:rPr>
        <w:t xml:space="preserve">, </w:t>
      </w:r>
      <w:r w:rsidR="00B108DE">
        <w:rPr>
          <w:noProof/>
        </w:rPr>
        <w:t xml:space="preserve">die </w:t>
      </w:r>
      <w:r w:rsidR="00F417D3">
        <w:rPr>
          <w:noProof/>
        </w:rPr>
        <w:t xml:space="preserve">eigentliche </w:t>
      </w:r>
      <w:r w:rsidR="00B108DE">
        <w:rPr>
          <w:noProof/>
        </w:rPr>
        <w:t>Ingangsetzung der Massnahmen</w:t>
      </w:r>
      <w:r w:rsidR="00F279AF">
        <w:rPr>
          <w:noProof/>
        </w:rPr>
        <w:t xml:space="preserve"> bekämpft</w:t>
      </w:r>
      <w:r w:rsidR="00963C34">
        <w:rPr>
          <w:noProof/>
        </w:rPr>
        <w:t>.</w:t>
      </w:r>
    </w:p>
    <w:p w14:paraId="64F0519C" w14:textId="77777777" w:rsidR="00F417D3" w:rsidRDefault="00F417D3" w:rsidP="00F417D3">
      <w:pPr>
        <w:rPr>
          <w:noProof/>
        </w:rPr>
      </w:pPr>
    </w:p>
    <w:p w14:paraId="73A43B49" w14:textId="77777777" w:rsidR="00F417D3" w:rsidRDefault="00F417D3">
      <w:pPr>
        <w:rPr>
          <w:noProof/>
        </w:rPr>
      </w:pPr>
      <w:r>
        <w:rPr>
          <w:noProof/>
        </w:rPr>
        <w:br w:type="page"/>
      </w:r>
    </w:p>
    <w:p w14:paraId="5D1D7C38" w14:textId="7277A93B" w:rsidR="00EE1370" w:rsidRPr="00F417D3" w:rsidRDefault="00EE1370" w:rsidP="00F417D3">
      <w:pPr>
        <w:rPr>
          <w:b/>
          <w:bCs/>
          <w:noProof/>
        </w:rPr>
      </w:pPr>
      <w:r w:rsidRPr="00F417D3">
        <w:rPr>
          <w:b/>
          <w:bCs/>
          <w:noProof/>
        </w:rPr>
        <w:lastRenderedPageBreak/>
        <w:t>Was ist statt dessen zu tun?</w:t>
      </w:r>
    </w:p>
    <w:p w14:paraId="313F7BA5" w14:textId="77777777" w:rsidR="007770B2" w:rsidRDefault="007770B2" w:rsidP="002F70B2">
      <w:pPr>
        <w:rPr>
          <w:b/>
          <w:bCs/>
          <w:noProof/>
          <w:color w:val="2F5496" w:themeColor="accent1" w:themeShade="BF"/>
        </w:rPr>
      </w:pPr>
    </w:p>
    <w:p w14:paraId="259A4511" w14:textId="4DDA1B64" w:rsidR="00807F63" w:rsidRDefault="007D58C7" w:rsidP="002F70B2">
      <w:pPr>
        <w:rPr>
          <w:b/>
          <w:bCs/>
          <w:noProof/>
          <w:color w:val="2F5496" w:themeColor="accent1" w:themeShade="BF"/>
        </w:rPr>
      </w:pPr>
      <w:r>
        <w:rPr>
          <w:b/>
          <w:bCs/>
          <w:noProof/>
          <w:color w:val="2F5496" w:themeColor="accent1" w:themeShade="BF"/>
        </w:rPr>
        <w:t xml:space="preserve">Bisheriger </w:t>
      </w:r>
      <w:r w:rsidR="00483F65" w:rsidRPr="00B254BD">
        <w:rPr>
          <w:b/>
          <w:bCs/>
          <w:noProof/>
          <w:color w:val="2F5496" w:themeColor="accent1" w:themeShade="BF"/>
        </w:rPr>
        <w:t xml:space="preserve">und </w:t>
      </w:r>
      <w:r w:rsidR="00677B93" w:rsidRPr="00B254BD">
        <w:rPr>
          <w:b/>
          <w:bCs/>
          <w:noProof/>
          <w:color w:val="2F5496" w:themeColor="accent1" w:themeShade="BF"/>
        </w:rPr>
        <w:t xml:space="preserve">auch gemäss Teilrevision </w:t>
      </w:r>
      <w:r w:rsidR="00483F65" w:rsidRPr="00B254BD">
        <w:rPr>
          <w:b/>
          <w:bCs/>
          <w:noProof/>
          <w:color w:val="2F5496" w:themeColor="accent1" w:themeShade="BF"/>
        </w:rPr>
        <w:t>unveränderter</w:t>
      </w:r>
      <w:r w:rsidR="00483F65">
        <w:rPr>
          <w:b/>
          <w:bCs/>
          <w:noProof/>
          <w:color w:val="2F5496" w:themeColor="accent1" w:themeShade="BF"/>
        </w:rPr>
        <w:t xml:space="preserve"> </w:t>
      </w:r>
      <w:r>
        <w:rPr>
          <w:b/>
          <w:bCs/>
          <w:noProof/>
          <w:color w:val="2F5496" w:themeColor="accent1" w:themeShade="BF"/>
        </w:rPr>
        <w:t xml:space="preserve">Wortlaut </w:t>
      </w:r>
      <w:r w:rsidR="00807F63" w:rsidRPr="00807F63">
        <w:rPr>
          <w:b/>
          <w:bCs/>
          <w:noProof/>
          <w:color w:val="2F5496" w:themeColor="accent1" w:themeShade="BF"/>
        </w:rPr>
        <w:t>EpG:</w:t>
      </w:r>
    </w:p>
    <w:p w14:paraId="20685927" w14:textId="77777777" w:rsidR="007770B2" w:rsidRPr="00807F63" w:rsidRDefault="007770B2" w:rsidP="002F70B2">
      <w:pPr>
        <w:rPr>
          <w:b/>
          <w:bCs/>
          <w:noProof/>
          <w:color w:val="2F5496" w:themeColor="accent1" w:themeShade="BF"/>
        </w:rPr>
      </w:pPr>
    </w:p>
    <w:p w14:paraId="519C5AD1" w14:textId="355F5706" w:rsidR="002F70B2" w:rsidRPr="00785F8A" w:rsidRDefault="00000000" w:rsidP="002F70B2">
      <w:pPr>
        <w:rPr>
          <w:b/>
          <w:bCs/>
          <w:noProof/>
          <w:color w:val="2F5496" w:themeColor="accent1" w:themeShade="BF"/>
        </w:rPr>
      </w:pPr>
      <w:hyperlink r:id="rId7" w:anchor="art_1" w:history="1">
        <w:r w:rsidR="002F70B2" w:rsidRPr="00785F8A">
          <w:rPr>
            <w:b/>
            <w:bCs/>
            <w:noProof/>
            <w:color w:val="2F5496" w:themeColor="accent1" w:themeShade="BF"/>
          </w:rPr>
          <w:t>Art. 1 Gegenstand</w:t>
        </w:r>
      </w:hyperlink>
    </w:p>
    <w:p w14:paraId="7654D824" w14:textId="77777777" w:rsidR="002F70B2" w:rsidRPr="00785F8A" w:rsidRDefault="002F70B2" w:rsidP="002F70B2">
      <w:pPr>
        <w:rPr>
          <w:noProof/>
          <w:color w:val="2F5496" w:themeColor="accent1" w:themeShade="BF"/>
        </w:rPr>
      </w:pPr>
      <w:r w:rsidRPr="00785F8A">
        <w:rPr>
          <w:noProof/>
          <w:color w:val="2F5496" w:themeColor="accent1" w:themeShade="BF"/>
        </w:rPr>
        <w:t xml:space="preserve">Dieses Gesetz regelt den Schutz des Menschen vor übertragbaren Krankheiten und sieht die dazu </w:t>
      </w:r>
      <w:r w:rsidRPr="00785F8A">
        <w:rPr>
          <w:b/>
          <w:bCs/>
          <w:noProof/>
          <w:color w:val="2F5496" w:themeColor="accent1" w:themeShade="BF"/>
        </w:rPr>
        <w:t>nötigen Massnahmen</w:t>
      </w:r>
      <w:r w:rsidRPr="00785F8A">
        <w:rPr>
          <w:noProof/>
          <w:color w:val="2F5496" w:themeColor="accent1" w:themeShade="BF"/>
        </w:rPr>
        <w:t xml:space="preserve"> vor.</w:t>
      </w:r>
    </w:p>
    <w:p w14:paraId="55F40ABD" w14:textId="77777777" w:rsidR="007770B2" w:rsidRDefault="007770B2" w:rsidP="002F70B2">
      <w:pPr>
        <w:rPr>
          <w:b/>
          <w:bCs/>
          <w:noProof/>
          <w:color w:val="2F5496" w:themeColor="accent1" w:themeShade="BF"/>
        </w:rPr>
      </w:pPr>
      <w:bookmarkStart w:id="0" w:name="a2"/>
      <w:bookmarkEnd w:id="0"/>
    </w:p>
    <w:p w14:paraId="2FF4E393" w14:textId="6B772C86" w:rsidR="002F70B2" w:rsidRPr="00785F8A" w:rsidRDefault="00000000" w:rsidP="002F70B2">
      <w:pPr>
        <w:rPr>
          <w:b/>
          <w:bCs/>
          <w:noProof/>
          <w:color w:val="2F5496" w:themeColor="accent1" w:themeShade="BF"/>
        </w:rPr>
      </w:pPr>
      <w:hyperlink r:id="rId8" w:anchor="art_2" w:history="1">
        <w:r w:rsidR="002F70B2" w:rsidRPr="00785F8A">
          <w:rPr>
            <w:b/>
            <w:bCs/>
            <w:noProof/>
            <w:color w:val="2F5496" w:themeColor="accent1" w:themeShade="BF"/>
          </w:rPr>
          <w:t>Art. 2 Zweck</w:t>
        </w:r>
      </w:hyperlink>
    </w:p>
    <w:p w14:paraId="460B5CC3" w14:textId="21CA96EF" w:rsidR="002F70B2" w:rsidRDefault="002F70B2" w:rsidP="002F70B2">
      <w:pPr>
        <w:rPr>
          <w:noProof/>
          <w:color w:val="2F5496" w:themeColor="accent1" w:themeShade="BF"/>
        </w:rPr>
      </w:pPr>
      <w:r w:rsidRPr="00785F8A">
        <w:rPr>
          <w:noProof/>
          <w:color w:val="2F5496" w:themeColor="accent1" w:themeShade="BF"/>
        </w:rPr>
        <w:t xml:space="preserve">1 Dieses Gesetz bezweckt, den Ausbruch und die Verbreitung übertragbarer Krankheiten </w:t>
      </w:r>
      <w:r w:rsidRPr="00785F8A">
        <w:rPr>
          <w:b/>
          <w:bCs/>
          <w:noProof/>
          <w:color w:val="2F5496" w:themeColor="accent1" w:themeShade="BF"/>
        </w:rPr>
        <w:t>zu verhüten und zu bekämpfen</w:t>
      </w:r>
      <w:r w:rsidRPr="00785F8A">
        <w:rPr>
          <w:noProof/>
          <w:color w:val="2F5496" w:themeColor="accent1" w:themeShade="BF"/>
        </w:rPr>
        <w:t>.</w:t>
      </w:r>
      <w:r w:rsidR="006145E4">
        <w:rPr>
          <w:noProof/>
          <w:color w:val="2F5496" w:themeColor="accent1" w:themeShade="BF"/>
        </w:rPr>
        <w:t xml:space="preserve"> (…)</w:t>
      </w:r>
    </w:p>
    <w:p w14:paraId="32FF9D28" w14:textId="77777777" w:rsidR="007770B2" w:rsidRPr="00785F8A" w:rsidRDefault="007770B2" w:rsidP="002F70B2">
      <w:pPr>
        <w:rPr>
          <w:noProof/>
          <w:color w:val="2F5496" w:themeColor="accent1" w:themeShade="BF"/>
        </w:rPr>
      </w:pPr>
    </w:p>
    <w:p w14:paraId="0C678F3B" w14:textId="2FC7890C" w:rsidR="00963C34" w:rsidRDefault="007F7072" w:rsidP="006145E4">
      <w:pPr>
        <w:pStyle w:val="Listenabsatz"/>
        <w:numPr>
          <w:ilvl w:val="0"/>
          <w:numId w:val="6"/>
        </w:numPr>
        <w:rPr>
          <w:noProof/>
        </w:rPr>
      </w:pPr>
      <w:r>
        <w:rPr>
          <w:noProof/>
        </w:rPr>
        <w:t>Das EpG dient dem Schutz der Bevölkerung vor übertragbaren Krankheiten. Diese sollen verhütet und bekämpft werden. Klingt gut gemeint, ist aber nur dann gut, wenn das Auf</w:t>
      </w:r>
      <w:r w:rsidR="005767EB">
        <w:rPr>
          <w:noProof/>
        </w:rPr>
        <w:t>-</w:t>
      </w:r>
      <w:r>
        <w:rPr>
          <w:noProof/>
        </w:rPr>
        <w:t xml:space="preserve">treten dieser </w:t>
      </w:r>
      <w:r w:rsidRPr="006145E4">
        <w:rPr>
          <w:b/>
          <w:bCs/>
          <w:noProof/>
        </w:rPr>
        <w:t xml:space="preserve">übertragbaren Krankheiten nachgewiesen worden ist und </w:t>
      </w:r>
      <w:r w:rsidR="005C1C33" w:rsidRPr="006145E4">
        <w:rPr>
          <w:b/>
          <w:bCs/>
          <w:noProof/>
        </w:rPr>
        <w:t xml:space="preserve">deren Ausbreitung nachweislich </w:t>
      </w:r>
      <w:r w:rsidRPr="006145E4">
        <w:rPr>
          <w:b/>
          <w:bCs/>
          <w:noProof/>
        </w:rPr>
        <w:t xml:space="preserve">zu einem </w:t>
      </w:r>
      <w:r w:rsidR="005C1C33" w:rsidRPr="006145E4">
        <w:rPr>
          <w:b/>
          <w:bCs/>
          <w:noProof/>
        </w:rPr>
        <w:t>schweren Schaden</w:t>
      </w:r>
      <w:r w:rsidR="005C1C33">
        <w:rPr>
          <w:noProof/>
        </w:rPr>
        <w:t xml:space="preserve"> eines wesentlichen Teils der Bevölkerung führen wird oder bereits geführt hat. </w:t>
      </w:r>
      <w:r w:rsidR="006420F6">
        <w:rPr>
          <w:noProof/>
        </w:rPr>
        <w:t xml:space="preserve">Dies </w:t>
      </w:r>
      <w:r w:rsidR="00807F63">
        <w:rPr>
          <w:noProof/>
        </w:rPr>
        <w:t xml:space="preserve">begründet </w:t>
      </w:r>
      <w:r w:rsidR="006420F6">
        <w:rPr>
          <w:noProof/>
        </w:rPr>
        <w:t>dann die besondere bzw. ausserordentliche Lage</w:t>
      </w:r>
      <w:r w:rsidR="006145E4">
        <w:rPr>
          <w:noProof/>
        </w:rPr>
        <w:t>,</w:t>
      </w:r>
      <w:r w:rsidR="006420F6">
        <w:rPr>
          <w:noProof/>
        </w:rPr>
        <w:t xml:space="preserve"> in deren Folge die im EpG beschriebenen Massnahmen ergriffen werden können.</w:t>
      </w:r>
    </w:p>
    <w:p w14:paraId="4E455B17" w14:textId="620FA2EA" w:rsidR="004A7572" w:rsidRDefault="00470517" w:rsidP="00A9058A">
      <w:pPr>
        <w:pStyle w:val="Listenabsatz"/>
        <w:numPr>
          <w:ilvl w:val="0"/>
          <w:numId w:val="1"/>
        </w:numPr>
        <w:rPr>
          <w:noProof/>
        </w:rPr>
      </w:pPr>
      <w:r>
        <w:rPr>
          <w:noProof/>
        </w:rPr>
        <w:t>Im Umkehrschluss bedeutet das: Will man die Anwendung der vorgesehenen</w:t>
      </w:r>
      <w:r w:rsidR="00807F63">
        <w:rPr>
          <w:noProof/>
        </w:rPr>
        <w:t>,</w:t>
      </w:r>
      <w:r>
        <w:rPr>
          <w:noProof/>
        </w:rPr>
        <w:t xml:space="preserve"> zum Teil drakonischen und freiheits- und verfassungsmässig zweifelhaften Massnahmen, welche zudem d</w:t>
      </w:r>
      <w:r w:rsidR="00785F8A">
        <w:rPr>
          <w:noProof/>
        </w:rPr>
        <w:t>as Recht auf</w:t>
      </w:r>
      <w:r>
        <w:rPr>
          <w:noProof/>
        </w:rPr>
        <w:t xml:space="preserve"> körperliche Unversehrtheit </w:t>
      </w:r>
      <w:r w:rsidR="00785F8A">
        <w:rPr>
          <w:noProof/>
        </w:rPr>
        <w:t>missachten</w:t>
      </w:r>
      <w:r>
        <w:rPr>
          <w:noProof/>
        </w:rPr>
        <w:t xml:space="preserve">, verhindern, </w:t>
      </w:r>
      <w:r w:rsidRPr="00AC1C02">
        <w:rPr>
          <w:b/>
          <w:bCs/>
          <w:noProof/>
        </w:rPr>
        <w:t>muss man ver</w:t>
      </w:r>
      <w:r w:rsidR="00785F8A">
        <w:rPr>
          <w:b/>
          <w:bCs/>
          <w:noProof/>
        </w:rPr>
        <w:t>-</w:t>
      </w:r>
      <w:r w:rsidRPr="00AC1C02">
        <w:rPr>
          <w:b/>
          <w:bCs/>
          <w:noProof/>
        </w:rPr>
        <w:t>hindern, dass</w:t>
      </w:r>
      <w:r w:rsidR="00D362E4">
        <w:rPr>
          <w:b/>
          <w:bCs/>
          <w:noProof/>
        </w:rPr>
        <w:t xml:space="preserve"> (jemals)</w:t>
      </w:r>
      <w:r w:rsidRPr="00AC1C02">
        <w:rPr>
          <w:b/>
          <w:bCs/>
          <w:noProof/>
        </w:rPr>
        <w:t xml:space="preserve"> eine besondere oder ausserordentliche Lage in der Schweiz ausge</w:t>
      </w:r>
      <w:r w:rsidR="00F417D3">
        <w:rPr>
          <w:b/>
          <w:bCs/>
          <w:noProof/>
        </w:rPr>
        <w:t>-</w:t>
      </w:r>
      <w:r w:rsidRPr="00AC1C02">
        <w:rPr>
          <w:b/>
          <w:bCs/>
          <w:noProof/>
        </w:rPr>
        <w:t>rufen wird, welche</w:t>
      </w:r>
      <w:r w:rsidR="00785F8A">
        <w:rPr>
          <w:b/>
          <w:bCs/>
          <w:noProof/>
        </w:rPr>
        <w:t xml:space="preserve"> dann</w:t>
      </w:r>
      <w:r w:rsidRPr="00AC1C02">
        <w:rPr>
          <w:b/>
          <w:bCs/>
          <w:noProof/>
        </w:rPr>
        <w:t xml:space="preserve"> die Massnahmenlawine in Gang setzt.</w:t>
      </w:r>
      <w:r w:rsidR="00A9058A">
        <w:rPr>
          <w:b/>
          <w:bCs/>
          <w:noProof/>
        </w:rPr>
        <w:t xml:space="preserve"> </w:t>
      </w:r>
      <w:r w:rsidR="00AC1C02">
        <w:rPr>
          <w:noProof/>
        </w:rPr>
        <w:t xml:space="preserve">Und hier kann der </w:t>
      </w:r>
      <w:r w:rsidR="00ED7C93" w:rsidRPr="00A9058A">
        <w:rPr>
          <w:b/>
          <w:bCs/>
          <w:noProof/>
        </w:rPr>
        <w:t xml:space="preserve">1. </w:t>
      </w:r>
      <w:r w:rsidR="00AC1C02" w:rsidRPr="00A9058A">
        <w:rPr>
          <w:b/>
          <w:bCs/>
          <w:noProof/>
        </w:rPr>
        <w:t>Hebel</w:t>
      </w:r>
      <w:r w:rsidR="00AC1C02">
        <w:rPr>
          <w:noProof/>
        </w:rPr>
        <w:t xml:space="preserve"> angesetzt werden</w:t>
      </w:r>
      <w:r w:rsidR="005D754D">
        <w:rPr>
          <w:noProof/>
        </w:rPr>
        <w:t>.</w:t>
      </w:r>
      <w:r w:rsidR="00ED7C93">
        <w:rPr>
          <w:noProof/>
        </w:rPr>
        <w:t xml:space="preserve"> </w:t>
      </w:r>
    </w:p>
    <w:p w14:paraId="15AE34BD" w14:textId="055AD898" w:rsidR="00ED7C93" w:rsidRDefault="00ED7C93" w:rsidP="004A7572">
      <w:pPr>
        <w:pStyle w:val="Listenabsatz"/>
        <w:numPr>
          <w:ilvl w:val="0"/>
          <w:numId w:val="1"/>
        </w:numPr>
        <w:rPr>
          <w:noProof/>
        </w:rPr>
      </w:pPr>
      <w:r>
        <w:rPr>
          <w:noProof/>
        </w:rPr>
        <w:t xml:space="preserve">Da die Nationalen Programme zur Erkennung, Überwachung, Verhütung und Bekämpfung von übertragbaren Krankheiten nach Art. 5 allen voran Impfungen vorsehen und nach Art. 6 Impfungen als obligatorisch erklärt werden können, muss der </w:t>
      </w:r>
      <w:r w:rsidRPr="00F417D3">
        <w:rPr>
          <w:b/>
          <w:bCs/>
          <w:noProof/>
        </w:rPr>
        <w:t>2. Hebel</w:t>
      </w:r>
      <w:r>
        <w:rPr>
          <w:noProof/>
        </w:rPr>
        <w:t xml:space="preserve"> bei der Definition der Impfung ansetzen.</w:t>
      </w:r>
    </w:p>
    <w:p w14:paraId="0DD5450F" w14:textId="6A859AFA" w:rsidR="00A937BE" w:rsidRDefault="00A937BE" w:rsidP="004A7572">
      <w:pPr>
        <w:pStyle w:val="Listenabsatz"/>
        <w:numPr>
          <w:ilvl w:val="0"/>
          <w:numId w:val="1"/>
        </w:numPr>
        <w:rPr>
          <w:noProof/>
        </w:rPr>
      </w:pPr>
      <w:r>
        <w:rPr>
          <w:noProof/>
        </w:rPr>
        <w:t>Der “guten Ordnung halber“ sollten zudem die Begriffe Epidemie und Pandemie definiert werden.</w:t>
      </w:r>
      <w:r w:rsidR="00F417D3">
        <w:rPr>
          <w:noProof/>
        </w:rPr>
        <w:t xml:space="preserve"> Schliesslich heisst das Gesetz so.</w:t>
      </w:r>
    </w:p>
    <w:p w14:paraId="1AE65AAF" w14:textId="77777777" w:rsidR="00015672" w:rsidRDefault="00015672" w:rsidP="004A7572">
      <w:pPr>
        <w:rPr>
          <w:b/>
          <w:bCs/>
          <w:noProof/>
        </w:rPr>
      </w:pPr>
    </w:p>
    <w:p w14:paraId="612D12A8" w14:textId="38A6F79D" w:rsidR="004A7572" w:rsidRPr="004A7572" w:rsidRDefault="004A7572" w:rsidP="004A7572">
      <w:pPr>
        <w:rPr>
          <w:b/>
          <w:bCs/>
          <w:noProof/>
        </w:rPr>
      </w:pPr>
      <w:r w:rsidRPr="004A7572">
        <w:rPr>
          <w:b/>
          <w:bCs/>
          <w:noProof/>
        </w:rPr>
        <w:t xml:space="preserve">Hebel Nummer 1: </w:t>
      </w:r>
      <w:r w:rsidR="002A39FA">
        <w:rPr>
          <w:b/>
          <w:bCs/>
          <w:noProof/>
        </w:rPr>
        <w:t>Konkretisierung</w:t>
      </w:r>
      <w:r w:rsidRPr="004A7572">
        <w:rPr>
          <w:b/>
          <w:bCs/>
          <w:noProof/>
        </w:rPr>
        <w:t xml:space="preserve"> der Lagebegriffe</w:t>
      </w:r>
    </w:p>
    <w:p w14:paraId="16B2E34C" w14:textId="43EE656F" w:rsidR="00AC1C02" w:rsidRPr="00A56FAB" w:rsidRDefault="00AC1C02" w:rsidP="00974409">
      <w:pPr>
        <w:pStyle w:val="Listenabsatz"/>
        <w:numPr>
          <w:ilvl w:val="0"/>
          <w:numId w:val="1"/>
        </w:numPr>
        <w:rPr>
          <w:b/>
          <w:bCs/>
          <w:noProof/>
        </w:rPr>
      </w:pPr>
      <w:r>
        <w:rPr>
          <w:noProof/>
        </w:rPr>
        <w:t xml:space="preserve">Die gesetzliche Definition der besonderen Lage in Art. 6 EpG weist bereits in der heutigen Fassung des EpG </w:t>
      </w:r>
      <w:r w:rsidRPr="007C3868">
        <w:rPr>
          <w:b/>
          <w:bCs/>
          <w:noProof/>
        </w:rPr>
        <w:t>eine ganze Anzahl unbestimmter Rechtsbegriffe</w:t>
      </w:r>
      <w:r>
        <w:rPr>
          <w:noProof/>
        </w:rPr>
        <w:t xml:space="preserve"> auf. Die besondere Lage ist in Art. 6 Abs. 1 EpG durch zwei alternative Tatbestandsvarianten definiert (Bst. a und b), die jeweils zwei kumulative Voraussetzungen enthalten (Bst. a mit drei alternativen Untervarian</w:t>
      </w:r>
      <w:r w:rsidR="007C3868">
        <w:rPr>
          <w:noProof/>
        </w:rPr>
        <w:t>-</w:t>
      </w:r>
      <w:r>
        <w:rPr>
          <w:noProof/>
        </w:rPr>
        <w:t>ten in der zweiten Voraussetzung). Alle Aspekte dieser Tatbestandsdefinition sind juristisch auslegungsbedürftig.</w:t>
      </w:r>
      <w:r w:rsidR="005D754D">
        <w:rPr>
          <w:noProof/>
        </w:rPr>
        <w:t xml:space="preserve"> </w:t>
      </w:r>
      <w:r w:rsidR="00A56FAB" w:rsidRPr="00A56FAB">
        <w:rPr>
          <w:b/>
          <w:bCs/>
          <w:noProof/>
        </w:rPr>
        <w:t>Daran ändert der Vorentwurf zur Vernehmlassung nichts. Alle Tatbe</w:t>
      </w:r>
      <w:r w:rsidR="00C3199D">
        <w:rPr>
          <w:b/>
          <w:bCs/>
          <w:noProof/>
        </w:rPr>
        <w:t>-</w:t>
      </w:r>
      <w:r w:rsidR="00A56FAB" w:rsidRPr="00A56FAB">
        <w:rPr>
          <w:b/>
          <w:bCs/>
          <w:noProof/>
        </w:rPr>
        <w:t>stände bleiben auslegungsbedürftig!</w:t>
      </w:r>
    </w:p>
    <w:p w14:paraId="3C39C2B2" w14:textId="115E598F" w:rsidR="005D754D" w:rsidRDefault="005D754D" w:rsidP="00D939CA">
      <w:pPr>
        <w:pStyle w:val="Listenabsatz"/>
        <w:numPr>
          <w:ilvl w:val="0"/>
          <w:numId w:val="1"/>
        </w:numPr>
        <w:rPr>
          <w:noProof/>
        </w:rPr>
      </w:pPr>
      <w:r>
        <w:rPr>
          <w:noProof/>
        </w:rPr>
        <w:t xml:space="preserve">Wenn </w:t>
      </w:r>
      <w:r w:rsidR="00D939CA">
        <w:rPr>
          <w:noProof/>
        </w:rPr>
        <w:t xml:space="preserve">die </w:t>
      </w:r>
      <w:r>
        <w:rPr>
          <w:noProof/>
        </w:rPr>
        <w:t xml:space="preserve">Kantone Bedarf an Führung und Koordination durch den Bund aufgrund einer in Art. 6 Abs. 1 EpG beschriebenen Situation </w:t>
      </w:r>
      <w:r w:rsidR="00635D8A">
        <w:rPr>
          <w:noProof/>
        </w:rPr>
        <w:t>äussern</w:t>
      </w:r>
      <w:r>
        <w:rPr>
          <w:noProof/>
        </w:rPr>
        <w:t>, ist es zudem nicht automatisch notwen</w:t>
      </w:r>
      <w:r w:rsidR="00D939CA">
        <w:rPr>
          <w:noProof/>
        </w:rPr>
        <w:t>-</w:t>
      </w:r>
      <w:r>
        <w:rPr>
          <w:noProof/>
        </w:rPr>
        <w:lastRenderedPageBreak/>
        <w:t>dig, dass der Bund die Kompetenz zur Anordnung von Massnahmen gemäss Art. 6 Abs. 2 EpG erhält.</w:t>
      </w:r>
      <w:r w:rsidR="00635D8A">
        <w:rPr>
          <w:noProof/>
        </w:rPr>
        <w:t xml:space="preserve"> </w:t>
      </w:r>
      <w:r w:rsidR="00635D8A" w:rsidRPr="003A6F4D">
        <w:rPr>
          <w:b/>
          <w:bCs/>
          <w:noProof/>
        </w:rPr>
        <w:t>Dies wird neu in Art. 6b präzisiert</w:t>
      </w:r>
      <w:r w:rsidR="00635D8A">
        <w:rPr>
          <w:noProof/>
        </w:rPr>
        <w:t xml:space="preserve">: </w:t>
      </w:r>
      <w:r w:rsidR="00635D8A" w:rsidRPr="00761D07">
        <w:rPr>
          <w:i/>
          <w:iCs/>
          <w:noProof/>
        </w:rPr>
        <w:t>“1 Der Bundesrat stellt die besondere Lage fest.</w:t>
      </w:r>
      <w:r w:rsidR="00D939CA">
        <w:rPr>
          <w:i/>
          <w:iCs/>
          <w:noProof/>
        </w:rPr>
        <w:t xml:space="preserve">  </w:t>
      </w:r>
      <w:r w:rsidR="00D939CA">
        <w:rPr>
          <w:i/>
          <w:iCs/>
          <w:noProof/>
        </w:rPr>
        <w:br/>
      </w:r>
      <w:r w:rsidR="00635D8A" w:rsidRPr="00D939CA">
        <w:rPr>
          <w:i/>
          <w:iCs/>
          <w:noProof/>
        </w:rPr>
        <w:t>2 Er definiert die Ziele und Grundsätze der Strategie zur Bekämpfung der Gefährdung sowie die Form der Zusammenarbeit mit den Kantonen.</w:t>
      </w:r>
      <w:r w:rsidR="00462116" w:rsidRPr="00D939CA">
        <w:rPr>
          <w:i/>
          <w:iCs/>
          <w:noProof/>
        </w:rPr>
        <w:t xml:space="preserve"> 3 Er entscheidet über den Einsatz der Krisenorganisation des Bundes.</w:t>
      </w:r>
      <w:r w:rsidR="008F137F" w:rsidRPr="00D939CA">
        <w:rPr>
          <w:i/>
          <w:iCs/>
          <w:noProof/>
        </w:rPr>
        <w:t>“</w:t>
      </w:r>
    </w:p>
    <w:p w14:paraId="5A61E2EC" w14:textId="77777777" w:rsidR="0039521E" w:rsidRDefault="005E3ECC" w:rsidP="00262F51">
      <w:pPr>
        <w:pStyle w:val="Listenabsatz"/>
        <w:numPr>
          <w:ilvl w:val="0"/>
          <w:numId w:val="1"/>
        </w:numPr>
        <w:rPr>
          <w:noProof/>
        </w:rPr>
      </w:pPr>
      <w:r>
        <w:rPr>
          <w:noProof/>
        </w:rPr>
        <w:t xml:space="preserve">Das Verfahren der Feststellung einer besonderen Lage und des Übergangs zwischen normaler und besonderer Lage ist </w:t>
      </w:r>
      <w:r w:rsidRPr="00665C39">
        <w:rPr>
          <w:b/>
          <w:bCs/>
          <w:noProof/>
        </w:rPr>
        <w:t>rechtlich nicht explizit geregelt</w:t>
      </w:r>
      <w:r>
        <w:rPr>
          <w:noProof/>
        </w:rPr>
        <w:t xml:space="preserve">. Die konkreten Schritte und Abläufe zwischen der Situationsbeurteilung und der formellen Deklaration einer besonderen Lage sind </w:t>
      </w:r>
      <w:r w:rsidR="000361DE">
        <w:rPr>
          <w:noProof/>
        </w:rPr>
        <w:t xml:space="preserve">heute </w:t>
      </w:r>
      <w:r>
        <w:rPr>
          <w:noProof/>
        </w:rPr>
        <w:t>unklar, ebenso wie die Form des Einbezugs der politischen Ebene in den Kantonen in die entsprechenden Entscheidungen.</w:t>
      </w:r>
    </w:p>
    <w:p w14:paraId="487D747C" w14:textId="3BA4A914" w:rsidR="005E3ECC" w:rsidRDefault="008F137F" w:rsidP="00262F51">
      <w:pPr>
        <w:pStyle w:val="Listenabsatz"/>
        <w:numPr>
          <w:ilvl w:val="0"/>
          <w:numId w:val="1"/>
        </w:numPr>
        <w:rPr>
          <w:noProof/>
        </w:rPr>
      </w:pPr>
      <w:r>
        <w:rPr>
          <w:noProof/>
        </w:rPr>
        <w:t xml:space="preserve">Auch im </w:t>
      </w:r>
      <w:r w:rsidRPr="00C1316B">
        <w:rPr>
          <w:noProof/>
        </w:rPr>
        <w:t>Vorentwurf</w:t>
      </w:r>
      <w:r w:rsidR="00A53DFE" w:rsidRPr="00C1316B">
        <w:rPr>
          <w:noProof/>
        </w:rPr>
        <w:t xml:space="preserve"> zur Vernehmlassung</w:t>
      </w:r>
      <w:r>
        <w:rPr>
          <w:noProof/>
        </w:rPr>
        <w:t xml:space="preserve"> ist nichts zum </w:t>
      </w:r>
      <w:r w:rsidRPr="00C1316B">
        <w:rPr>
          <w:b/>
          <w:bCs/>
          <w:noProof/>
        </w:rPr>
        <w:t>Übergang</w:t>
      </w:r>
      <w:r>
        <w:rPr>
          <w:noProof/>
        </w:rPr>
        <w:t xml:space="preserve"> erwähnt. Zur Zusammen</w:t>
      </w:r>
      <w:r w:rsidR="00A53DFE">
        <w:rPr>
          <w:noProof/>
        </w:rPr>
        <w:t>-</w:t>
      </w:r>
      <w:r>
        <w:rPr>
          <w:noProof/>
        </w:rPr>
        <w:t>arbeit mit den Kantonen heisst es</w:t>
      </w:r>
      <w:r w:rsidR="00262F51">
        <w:rPr>
          <w:noProof/>
        </w:rPr>
        <w:t xml:space="preserve"> in Art. 6b</w:t>
      </w:r>
      <w:r>
        <w:rPr>
          <w:noProof/>
        </w:rPr>
        <w:t xml:space="preserve">: </w:t>
      </w:r>
      <w:r w:rsidRPr="00761D07">
        <w:rPr>
          <w:i/>
          <w:iCs/>
          <w:noProof/>
        </w:rPr>
        <w:t>“4 Er (der BR) hört die Kantone und die zustän</w:t>
      </w:r>
      <w:r w:rsidR="00A53DFE" w:rsidRPr="00761D07">
        <w:rPr>
          <w:i/>
          <w:iCs/>
          <w:noProof/>
        </w:rPr>
        <w:t>-</w:t>
      </w:r>
      <w:r w:rsidRPr="00761D07">
        <w:rPr>
          <w:i/>
          <w:iCs/>
          <w:noProof/>
        </w:rPr>
        <w:t>digen parlamentarischen Kommissionen an.“</w:t>
      </w:r>
      <w:r w:rsidR="00262F51">
        <w:rPr>
          <w:noProof/>
        </w:rPr>
        <w:t xml:space="preserve"> Und in Art. 6c: </w:t>
      </w:r>
      <w:r w:rsidR="00262F51" w:rsidRPr="00761D07">
        <w:rPr>
          <w:i/>
          <w:iCs/>
          <w:noProof/>
        </w:rPr>
        <w:t>“Besondere Lage: Anordnung von Massnahmen 1 Der Bundesrat kann nach Anhörung der Kantone und der zuständigen parlamentarischen Kommissionen: a. Massnahmen anordnen gegenüber einzelnen Personen (Art. 30–39) oder gegenüber der Bevölkerung und bestimmten Personengruppen (Art. 40); (…)</w:t>
      </w:r>
      <w:r w:rsidR="00A43600" w:rsidRPr="00761D07">
        <w:rPr>
          <w:i/>
          <w:iCs/>
          <w:noProof/>
        </w:rPr>
        <w:t xml:space="preserve"> c. Impfungen von gefährdeten Bevölkerungsgruppen, besonders exponierten Personen und Personen, die bestimmte Tätigkeiten ausüben, für obligatorisch erklären</w:t>
      </w:r>
      <w:r w:rsidR="00A43600" w:rsidRPr="00A43600">
        <w:rPr>
          <w:noProof/>
        </w:rPr>
        <w:t>.</w:t>
      </w:r>
      <w:r w:rsidR="00A43600">
        <w:rPr>
          <w:noProof/>
        </w:rPr>
        <w:t>“</w:t>
      </w:r>
      <w:r w:rsidR="004F1F3C">
        <w:rPr>
          <w:noProof/>
        </w:rPr>
        <w:t xml:space="preserve"> </w:t>
      </w:r>
    </w:p>
    <w:p w14:paraId="0B4DFE09" w14:textId="4F96834D" w:rsidR="00447D00" w:rsidRDefault="00441A92" w:rsidP="00447D00">
      <w:pPr>
        <w:pStyle w:val="Listenabsatz"/>
        <w:numPr>
          <w:ilvl w:val="0"/>
          <w:numId w:val="1"/>
        </w:numPr>
        <w:rPr>
          <w:noProof/>
        </w:rPr>
      </w:pPr>
      <w:r>
        <w:rPr>
          <w:noProof/>
        </w:rPr>
        <w:t>Juristisch betrachtet ist die besondere Lage im Sinn</w:t>
      </w:r>
      <w:r w:rsidR="003A6F4D">
        <w:rPr>
          <w:noProof/>
        </w:rPr>
        <w:t>e</w:t>
      </w:r>
      <w:r>
        <w:rPr>
          <w:noProof/>
        </w:rPr>
        <w:t xml:space="preserve"> von Art. 6 EpG in der Grössenordnung von Monaten zeitlich begrenzt. Aus Gründen der Rechtssicherheit sind Beginn und Ende einer besonderen Lage förmlich festzustellen. Diese Feststellung ist unmittelbar mit der Anordnung von Massnahmen durch den Bund nach </w:t>
      </w:r>
      <w:r w:rsidR="00C1316B">
        <w:rPr>
          <w:noProof/>
        </w:rPr>
        <w:t>Zustimmung</w:t>
      </w:r>
      <w:r>
        <w:rPr>
          <w:noProof/>
        </w:rPr>
        <w:t xml:space="preserve"> der Kantone verbunden und losgelöst davon nicht rechtmässig.</w:t>
      </w:r>
      <w:r w:rsidR="003A6F4D">
        <w:rPr>
          <w:noProof/>
        </w:rPr>
        <w:t xml:space="preserve"> Hiervon steht nichts im Gesetz</w:t>
      </w:r>
      <w:r w:rsidR="00761D07">
        <w:rPr>
          <w:noProof/>
        </w:rPr>
        <w:t>, auch nicht im neuen Entwurf</w:t>
      </w:r>
      <w:r w:rsidR="003A6F4D">
        <w:rPr>
          <w:noProof/>
        </w:rPr>
        <w:t>.</w:t>
      </w:r>
      <w:r w:rsidR="007A7A69">
        <w:rPr>
          <w:noProof/>
        </w:rPr>
        <w:t xml:space="preserve"> “Vorübergehend dauerhaftes“ Notrecht muss aber von Beginn an ausgeschlossen werden.</w:t>
      </w:r>
    </w:p>
    <w:p w14:paraId="7DA0318D" w14:textId="77777777" w:rsidR="007A7A69" w:rsidRDefault="007A7A69" w:rsidP="007A7A69">
      <w:pPr>
        <w:pStyle w:val="Listenabsatz"/>
        <w:rPr>
          <w:noProof/>
        </w:rPr>
      </w:pPr>
    </w:p>
    <w:p w14:paraId="6F65A11A" w14:textId="36F72D9F" w:rsidR="00C079E1" w:rsidRDefault="00C079E1" w:rsidP="00C079E1">
      <w:pPr>
        <w:pStyle w:val="Listenabsatz"/>
        <w:numPr>
          <w:ilvl w:val="0"/>
          <w:numId w:val="1"/>
        </w:numPr>
        <w:rPr>
          <w:noProof/>
        </w:rPr>
      </w:pPr>
      <w:r w:rsidRPr="001E6AD2">
        <w:rPr>
          <w:b/>
          <w:bCs/>
          <w:noProof/>
        </w:rPr>
        <w:t>Ergo</w:t>
      </w:r>
      <w:r w:rsidR="00183B1E" w:rsidRPr="001E6AD2">
        <w:rPr>
          <w:b/>
          <w:bCs/>
          <w:noProof/>
        </w:rPr>
        <w:t>:</w:t>
      </w:r>
      <w:r>
        <w:rPr>
          <w:noProof/>
        </w:rPr>
        <w:t xml:space="preserve"> Insbesondere aus juristischer Sicht besteht im Interesse der Gesetzesklarheit Bedarf für eine </w:t>
      </w:r>
      <w:r w:rsidR="00802BEB">
        <w:rPr>
          <w:b/>
          <w:bCs/>
          <w:noProof/>
        </w:rPr>
        <w:t>Konkretisierung</w:t>
      </w:r>
      <w:r w:rsidRPr="00793E70">
        <w:rPr>
          <w:b/>
          <w:bCs/>
          <w:noProof/>
        </w:rPr>
        <w:t xml:space="preserve"> der “besonderen“ Gefährdung</w:t>
      </w:r>
      <w:r>
        <w:rPr>
          <w:noProof/>
        </w:rPr>
        <w:t xml:space="preserve"> gemäss Art. 6 Abs. 1 Bst. b EpG auf Verordnungsebene durch nachweisbare, messbare Kriterien. Die Bestimmung der “schwer</w:t>
      </w:r>
      <w:r w:rsidR="00BD6331">
        <w:rPr>
          <w:noProof/>
        </w:rPr>
        <w:t>-</w:t>
      </w:r>
      <w:r>
        <w:rPr>
          <w:noProof/>
        </w:rPr>
        <w:t>wiegenden“ Auswirkungen auf die Wirtschaft oder auf andere Lebensbereiche sollte, eben</w:t>
      </w:r>
      <w:r w:rsidR="00BD6331">
        <w:rPr>
          <w:noProof/>
        </w:rPr>
        <w:t>-</w:t>
      </w:r>
      <w:r>
        <w:rPr>
          <w:noProof/>
        </w:rPr>
        <w:t>falls aus Gründen der Gesetzesklarheit, auf Verordnungsebene durch nachprüfbare, mess</w:t>
      </w:r>
      <w:r w:rsidR="00BD6331">
        <w:rPr>
          <w:noProof/>
        </w:rPr>
        <w:t>-</w:t>
      </w:r>
      <w:r>
        <w:rPr>
          <w:noProof/>
        </w:rPr>
        <w:t>bare Kriterien objektiviert werden, unter welchen Bedingungen diese Voraussetzung einer besonderen Lage erfüllt ist.</w:t>
      </w:r>
    </w:p>
    <w:p w14:paraId="44EAFA0D" w14:textId="3CB5CFC2" w:rsidR="00557733" w:rsidRDefault="00557733" w:rsidP="00C079E1">
      <w:pPr>
        <w:pStyle w:val="Listenabsatz"/>
        <w:numPr>
          <w:ilvl w:val="0"/>
          <w:numId w:val="1"/>
        </w:numPr>
        <w:rPr>
          <w:noProof/>
        </w:rPr>
      </w:pPr>
      <w:r>
        <w:rPr>
          <w:noProof/>
        </w:rPr>
        <w:t xml:space="preserve">Die </w:t>
      </w:r>
      <w:r w:rsidRPr="00793E70">
        <w:rPr>
          <w:b/>
          <w:bCs/>
          <w:noProof/>
        </w:rPr>
        <w:t>“ausserordentliche Lage“</w:t>
      </w:r>
      <w:r>
        <w:rPr>
          <w:noProof/>
        </w:rPr>
        <w:t xml:space="preserve"> gemäss Art. 7 ist ein unbestimmter Rechtsbegriff. Hier sollte erst recht eine </w:t>
      </w:r>
      <w:r w:rsidR="000E1884">
        <w:rPr>
          <w:noProof/>
        </w:rPr>
        <w:t>Konkretisierung</w:t>
      </w:r>
      <w:r>
        <w:rPr>
          <w:noProof/>
        </w:rPr>
        <w:t xml:space="preserve"> des Begriffs erfolgen.</w:t>
      </w:r>
    </w:p>
    <w:p w14:paraId="3092B7E2" w14:textId="0927A27B" w:rsidR="00CE6829" w:rsidRDefault="00557733" w:rsidP="001A4DC6">
      <w:pPr>
        <w:pStyle w:val="Listenabsatz"/>
        <w:numPr>
          <w:ilvl w:val="0"/>
          <w:numId w:val="1"/>
        </w:numPr>
        <w:rPr>
          <w:noProof/>
        </w:rPr>
      </w:pPr>
      <w:r w:rsidRPr="00183B1E">
        <w:rPr>
          <w:b/>
          <w:bCs/>
          <w:noProof/>
        </w:rPr>
        <w:t>Kein Kriteri</w:t>
      </w:r>
      <w:r w:rsidR="00183B1E">
        <w:rPr>
          <w:b/>
          <w:bCs/>
          <w:noProof/>
        </w:rPr>
        <w:t>um</w:t>
      </w:r>
      <w:r>
        <w:rPr>
          <w:noProof/>
        </w:rPr>
        <w:t xml:space="preserve"> zur Ausrufung einer “besonderen“ oder einer “ausserordentlichen Lage“ darf die Feststellung einer solchen </w:t>
      </w:r>
      <w:r w:rsidRPr="00183B1E">
        <w:rPr>
          <w:b/>
          <w:bCs/>
          <w:noProof/>
        </w:rPr>
        <w:t xml:space="preserve">durch eine </w:t>
      </w:r>
      <w:r w:rsidR="00B417D9" w:rsidRPr="00183B1E">
        <w:rPr>
          <w:b/>
          <w:bCs/>
          <w:noProof/>
        </w:rPr>
        <w:t>Drittpartei</w:t>
      </w:r>
      <w:r w:rsidR="00B417D9">
        <w:rPr>
          <w:noProof/>
        </w:rPr>
        <w:t xml:space="preserve"> sein, schon gar nicht, wenn sie auslän</w:t>
      </w:r>
      <w:r w:rsidR="00B572D9">
        <w:rPr>
          <w:noProof/>
        </w:rPr>
        <w:t>-</w:t>
      </w:r>
      <w:r w:rsidR="00B417D9">
        <w:rPr>
          <w:noProof/>
        </w:rPr>
        <w:t>discher oder nicht demokratisch legitimierter Natur ist</w:t>
      </w:r>
      <w:r w:rsidR="00785F8A">
        <w:rPr>
          <w:noProof/>
        </w:rPr>
        <w:t xml:space="preserve"> (z.B. die WHO)</w:t>
      </w:r>
      <w:r w:rsidR="00B417D9">
        <w:rPr>
          <w:noProof/>
        </w:rPr>
        <w:t xml:space="preserve">. Ansonsten würde das EpG auf </w:t>
      </w:r>
      <w:r w:rsidR="00B417D9" w:rsidRPr="00793E70">
        <w:rPr>
          <w:b/>
          <w:bCs/>
          <w:noProof/>
        </w:rPr>
        <w:t xml:space="preserve">Willkür </w:t>
      </w:r>
      <w:r w:rsidR="00B417D9">
        <w:rPr>
          <w:noProof/>
        </w:rPr>
        <w:t>fussen.</w:t>
      </w:r>
    </w:p>
    <w:p w14:paraId="023BE4E9" w14:textId="77777777" w:rsidR="00447D00" w:rsidRDefault="00447D00">
      <w:pPr>
        <w:rPr>
          <w:b/>
          <w:bCs/>
          <w:noProof/>
        </w:rPr>
      </w:pPr>
    </w:p>
    <w:p w14:paraId="237EF1AA" w14:textId="77777777" w:rsidR="00447D00" w:rsidRDefault="00447D00">
      <w:pPr>
        <w:rPr>
          <w:b/>
          <w:bCs/>
          <w:noProof/>
        </w:rPr>
      </w:pPr>
    </w:p>
    <w:p w14:paraId="36013963" w14:textId="4EC981A2" w:rsidR="0018599E" w:rsidRPr="00A36298" w:rsidRDefault="0018599E">
      <w:pPr>
        <w:rPr>
          <w:b/>
          <w:bCs/>
          <w:noProof/>
        </w:rPr>
      </w:pPr>
      <w:r w:rsidRPr="00A36298">
        <w:rPr>
          <w:b/>
          <w:bCs/>
          <w:noProof/>
        </w:rPr>
        <w:t>Hebel Nummer 2: Die Definition der Impfung</w:t>
      </w:r>
    </w:p>
    <w:p w14:paraId="2C2062D9" w14:textId="04A39802" w:rsidR="00CE6829" w:rsidRDefault="00E96BD5">
      <w:pPr>
        <w:rPr>
          <w:noProof/>
        </w:rPr>
      </w:pPr>
      <w:r>
        <w:rPr>
          <w:noProof/>
        </w:rPr>
        <w:t>Die COVID-19-Impfung auf mRNA-Basis war keine Impfung, sondern eine Gentherapie, was in den Patenten von Moderna nachge</w:t>
      </w:r>
      <w:r w:rsidR="00B54BCA">
        <w:rPr>
          <w:noProof/>
        </w:rPr>
        <w:t>schaut</w:t>
      </w:r>
      <w:r>
        <w:rPr>
          <w:noProof/>
        </w:rPr>
        <w:t xml:space="preserve"> werden kann. Da die mRNA-Technologie die Zukunft aller bis</w:t>
      </w:r>
      <w:r w:rsidR="00351974">
        <w:rPr>
          <w:noProof/>
        </w:rPr>
        <w:t>-</w:t>
      </w:r>
      <w:r>
        <w:rPr>
          <w:noProof/>
        </w:rPr>
        <w:t xml:space="preserve">herigen Impfungen sein soll, ist der Begriff Impfung klar zu definieren. Es kann nicht alles, was den Menschen injiziert werden soll, Impfung </w:t>
      </w:r>
      <w:r w:rsidR="00785F8A">
        <w:rPr>
          <w:noProof/>
        </w:rPr>
        <w:t>genannt w</w:t>
      </w:r>
      <w:r w:rsidR="008423FD">
        <w:rPr>
          <w:noProof/>
        </w:rPr>
        <w:t>ird</w:t>
      </w:r>
      <w:r w:rsidR="00785F8A">
        <w:rPr>
          <w:noProof/>
        </w:rPr>
        <w:t>.</w:t>
      </w:r>
      <w:r>
        <w:rPr>
          <w:noProof/>
        </w:rPr>
        <w:t xml:space="preserve"> Die Definition sollte dem Medizinrecht / Patentrecht folgen und nicht für das EpG</w:t>
      </w:r>
      <w:r w:rsidR="00CB5015">
        <w:rPr>
          <w:noProof/>
        </w:rPr>
        <w:t xml:space="preserve"> neu</w:t>
      </w:r>
      <w:r>
        <w:rPr>
          <w:noProof/>
        </w:rPr>
        <w:t xml:space="preserve"> “erfunden“ werden</w:t>
      </w:r>
      <w:r w:rsidR="008423FD">
        <w:rPr>
          <w:noProof/>
        </w:rPr>
        <w:t xml:space="preserve"> bzw. schwammig sein</w:t>
      </w:r>
      <w:r>
        <w:rPr>
          <w:noProof/>
        </w:rPr>
        <w:t>.</w:t>
      </w:r>
      <w:r w:rsidR="00682CF0">
        <w:rPr>
          <w:noProof/>
        </w:rPr>
        <w:t xml:space="preserve"> Zumal rein </w:t>
      </w:r>
      <w:r w:rsidR="00682CF0">
        <w:rPr>
          <w:noProof/>
        </w:rPr>
        <w:lastRenderedPageBreak/>
        <w:t>rechtlich niemand</w:t>
      </w:r>
      <w:r w:rsidR="0006637B">
        <w:rPr>
          <w:noProof/>
        </w:rPr>
        <w:t>em</w:t>
      </w:r>
      <w:r w:rsidR="00682CF0">
        <w:rPr>
          <w:noProof/>
        </w:rPr>
        <w:t xml:space="preserve"> eine bestimmte Therapieform aufgezwungen werden kann. </w:t>
      </w:r>
      <w:r w:rsidR="00C54B06">
        <w:rPr>
          <w:noProof/>
        </w:rPr>
        <w:t xml:space="preserve">Eine Therapie dient zur Symptombekämpfung, eine Immunisierung dient </w:t>
      </w:r>
      <w:r w:rsidR="008423FD">
        <w:rPr>
          <w:noProof/>
        </w:rPr>
        <w:t>de</w:t>
      </w:r>
      <w:r w:rsidR="00C54B06">
        <w:rPr>
          <w:noProof/>
        </w:rPr>
        <w:t>r Nichterkrankung, Nichtansteckung und Nicht</w:t>
      </w:r>
      <w:r w:rsidR="0059756E">
        <w:rPr>
          <w:noProof/>
        </w:rPr>
        <w:t>w</w:t>
      </w:r>
      <w:r w:rsidR="00C54B06">
        <w:rPr>
          <w:noProof/>
        </w:rPr>
        <w:t>eitergabe von Krankheitserregern.</w:t>
      </w:r>
    </w:p>
    <w:p w14:paraId="62990D70" w14:textId="77777777" w:rsidR="00CE6829" w:rsidRDefault="00CE6829">
      <w:pPr>
        <w:rPr>
          <w:noProof/>
        </w:rPr>
      </w:pPr>
    </w:p>
    <w:p w14:paraId="5944498D" w14:textId="60BEF3C8" w:rsidR="00CE6829" w:rsidRDefault="00A42C9A">
      <w:pPr>
        <w:rPr>
          <w:b/>
          <w:bCs/>
          <w:noProof/>
        </w:rPr>
      </w:pPr>
      <w:r>
        <w:rPr>
          <w:b/>
          <w:bCs/>
          <w:noProof/>
        </w:rPr>
        <w:t>Hebel Nummer 3</w:t>
      </w:r>
      <w:r w:rsidR="00C20048">
        <w:rPr>
          <w:b/>
          <w:bCs/>
          <w:noProof/>
        </w:rPr>
        <w:t>,</w:t>
      </w:r>
      <w:r w:rsidR="00C20048" w:rsidRPr="00C20048">
        <w:rPr>
          <w:b/>
          <w:bCs/>
          <w:noProof/>
        </w:rPr>
        <w:t xml:space="preserve"> der guten Ordnung halber</w:t>
      </w:r>
      <w:r w:rsidR="00C20048">
        <w:rPr>
          <w:b/>
          <w:bCs/>
          <w:noProof/>
        </w:rPr>
        <w:t>,</w:t>
      </w:r>
      <w:r w:rsidR="00C20048" w:rsidRPr="00C20048">
        <w:rPr>
          <w:b/>
          <w:bCs/>
          <w:noProof/>
        </w:rPr>
        <w:t xml:space="preserve"> die Definition einer Epidemie und einer Pandemie</w:t>
      </w:r>
      <w:r>
        <w:rPr>
          <w:b/>
          <w:bCs/>
          <w:noProof/>
        </w:rPr>
        <w:t>.</w:t>
      </w:r>
    </w:p>
    <w:p w14:paraId="129DB0AC" w14:textId="77777777" w:rsidR="001A4DC6" w:rsidRDefault="001A4DC6">
      <w:pPr>
        <w:rPr>
          <w:b/>
          <w:bCs/>
          <w:noProof/>
        </w:rPr>
      </w:pPr>
    </w:p>
    <w:p w14:paraId="12A67DDF" w14:textId="6C823DF7" w:rsidR="00E264D6" w:rsidRDefault="00086034">
      <w:pPr>
        <w:rPr>
          <w:noProof/>
        </w:rPr>
      </w:pPr>
      <w:r>
        <w:rPr>
          <w:b/>
          <w:bCs/>
          <w:noProof/>
        </w:rPr>
        <w:t xml:space="preserve">Erwähnenswert wäre noch </w:t>
      </w:r>
      <w:r w:rsidR="00E264D6">
        <w:rPr>
          <w:b/>
          <w:bCs/>
          <w:noProof/>
        </w:rPr>
        <w:t xml:space="preserve">Hebel Nummer 4: Will man künftig Pandemien verhindern, so sollte man weltweit die </w:t>
      </w:r>
      <w:r>
        <w:rPr>
          <w:b/>
          <w:bCs/>
          <w:noProof/>
        </w:rPr>
        <w:t>“</w:t>
      </w:r>
      <w:r w:rsidR="00E264D6">
        <w:rPr>
          <w:b/>
          <w:bCs/>
          <w:noProof/>
        </w:rPr>
        <w:t>Gain-of-Function-Forschung</w:t>
      </w:r>
      <w:r>
        <w:rPr>
          <w:b/>
          <w:bCs/>
          <w:noProof/>
        </w:rPr>
        <w:t>“</w:t>
      </w:r>
      <w:r w:rsidR="00E264D6">
        <w:rPr>
          <w:b/>
          <w:bCs/>
          <w:noProof/>
        </w:rPr>
        <w:t xml:space="preserve"> </w:t>
      </w:r>
      <w:r w:rsidR="00A600F1">
        <w:rPr>
          <w:b/>
          <w:bCs/>
          <w:noProof/>
        </w:rPr>
        <w:t>(</w:t>
      </w:r>
      <w:r w:rsidR="004E456E">
        <w:rPr>
          <w:b/>
          <w:bCs/>
          <w:noProof/>
        </w:rPr>
        <w:t>=Biowaffenentwicklung</w:t>
      </w:r>
      <w:r w:rsidR="00A600F1">
        <w:rPr>
          <w:b/>
          <w:bCs/>
          <w:noProof/>
        </w:rPr>
        <w:t xml:space="preserve">) </w:t>
      </w:r>
      <w:r w:rsidR="00E264D6">
        <w:rPr>
          <w:b/>
          <w:bCs/>
          <w:noProof/>
        </w:rPr>
        <w:t>verbieten. Anfangen könnte man gleich einmal in der Schweiz</w:t>
      </w:r>
      <w:r w:rsidR="001251BB">
        <w:rPr>
          <w:b/>
          <w:bCs/>
          <w:noProof/>
        </w:rPr>
        <w:t>!</w:t>
      </w:r>
    </w:p>
    <w:p w14:paraId="1CA7066B" w14:textId="77777777" w:rsidR="00E264D6" w:rsidRDefault="00E264D6">
      <w:pPr>
        <w:rPr>
          <w:b/>
          <w:bCs/>
          <w:noProof/>
        </w:rPr>
      </w:pPr>
    </w:p>
    <w:p w14:paraId="178B048F" w14:textId="77777777" w:rsidR="007770B2" w:rsidRDefault="007770B2">
      <w:pPr>
        <w:rPr>
          <w:b/>
          <w:bCs/>
          <w:noProof/>
        </w:rPr>
      </w:pPr>
    </w:p>
    <w:p w14:paraId="735E0780" w14:textId="77777777" w:rsidR="007770B2" w:rsidRDefault="007770B2">
      <w:pPr>
        <w:rPr>
          <w:b/>
          <w:bCs/>
          <w:noProof/>
        </w:rPr>
      </w:pPr>
    </w:p>
    <w:p w14:paraId="221B9F8A" w14:textId="12E437EC" w:rsidR="00C20048" w:rsidRDefault="00C20048">
      <w:pPr>
        <w:rPr>
          <w:b/>
          <w:bCs/>
          <w:noProof/>
        </w:rPr>
      </w:pPr>
      <w:r w:rsidRPr="00C20048">
        <w:rPr>
          <w:b/>
          <w:bCs/>
          <w:noProof/>
        </w:rPr>
        <w:t>Argumentarium</w:t>
      </w:r>
      <w:r w:rsidR="00E264D6">
        <w:rPr>
          <w:b/>
          <w:bCs/>
          <w:noProof/>
        </w:rPr>
        <w:t xml:space="preserve"> / Begründung einer Vernehmlassungsantwort</w:t>
      </w:r>
      <w:r w:rsidRPr="00C20048">
        <w:rPr>
          <w:b/>
          <w:bCs/>
          <w:noProof/>
        </w:rPr>
        <w:t>:</w:t>
      </w:r>
    </w:p>
    <w:p w14:paraId="24A8240F" w14:textId="77777777" w:rsidR="007770B2" w:rsidRPr="00C20048" w:rsidRDefault="007770B2">
      <w:pPr>
        <w:rPr>
          <w:b/>
          <w:bCs/>
          <w:noProof/>
        </w:rPr>
      </w:pPr>
    </w:p>
    <w:p w14:paraId="4FFBCAD2" w14:textId="2BDD1568" w:rsidR="00C20048" w:rsidRDefault="00C20048" w:rsidP="00C20048">
      <w:pPr>
        <w:pStyle w:val="Listenabsatz"/>
        <w:numPr>
          <w:ilvl w:val="0"/>
          <w:numId w:val="3"/>
        </w:numPr>
        <w:rPr>
          <w:noProof/>
        </w:rPr>
      </w:pPr>
      <w:r>
        <w:rPr>
          <w:noProof/>
        </w:rPr>
        <w:t xml:space="preserve">Ja, die sog. Corona-Pandemie hat </w:t>
      </w:r>
      <w:r w:rsidR="00387B36">
        <w:rPr>
          <w:noProof/>
        </w:rPr>
        <w:t>bestehende</w:t>
      </w:r>
      <w:r>
        <w:rPr>
          <w:noProof/>
        </w:rPr>
        <w:t xml:space="preserve"> Grenzen des EpG aufgezeigt</w:t>
      </w:r>
      <w:r w:rsidR="00A97EC4">
        <w:rPr>
          <w:noProof/>
        </w:rPr>
        <w:t>;</w:t>
      </w:r>
      <w:r>
        <w:rPr>
          <w:noProof/>
        </w:rPr>
        <w:t xml:space="preserve"> insofern sind </w:t>
      </w:r>
      <w:r w:rsidR="00387B36" w:rsidRPr="00793E70">
        <w:rPr>
          <w:b/>
          <w:bCs/>
          <w:noProof/>
        </w:rPr>
        <w:t>A</w:t>
      </w:r>
      <w:r w:rsidRPr="00793E70">
        <w:rPr>
          <w:b/>
          <w:bCs/>
          <w:noProof/>
        </w:rPr>
        <w:t>npassungen durchaus sinnvoll</w:t>
      </w:r>
      <w:r w:rsidR="00DB3B6D">
        <w:rPr>
          <w:noProof/>
        </w:rPr>
        <w:t>, insbesondere im Hinblick auf die Verhinderung von Pande</w:t>
      </w:r>
      <w:r w:rsidR="001E5D85">
        <w:rPr>
          <w:noProof/>
        </w:rPr>
        <w:t>-</w:t>
      </w:r>
      <w:r w:rsidR="00DB3B6D">
        <w:rPr>
          <w:noProof/>
        </w:rPr>
        <w:t>mien und das Lostreten einer Massnahmenlawine / Aktionismuslawine.</w:t>
      </w:r>
    </w:p>
    <w:p w14:paraId="754384CA" w14:textId="77777777" w:rsidR="007770B2" w:rsidRDefault="007770B2" w:rsidP="007770B2">
      <w:pPr>
        <w:pStyle w:val="Listenabsatz"/>
        <w:rPr>
          <w:noProof/>
        </w:rPr>
      </w:pPr>
    </w:p>
    <w:p w14:paraId="690CA754" w14:textId="31FAD47A" w:rsidR="007770B2" w:rsidRDefault="00C20048" w:rsidP="00212765">
      <w:pPr>
        <w:pStyle w:val="Listenabsatz"/>
        <w:numPr>
          <w:ilvl w:val="0"/>
          <w:numId w:val="3"/>
        </w:numPr>
        <w:rPr>
          <w:noProof/>
        </w:rPr>
      </w:pPr>
      <w:r>
        <w:rPr>
          <w:noProof/>
        </w:rPr>
        <w:t xml:space="preserve">Aber: Aufgrund der </w:t>
      </w:r>
      <w:r w:rsidRPr="005C264C">
        <w:rPr>
          <w:b/>
          <w:bCs/>
          <w:noProof/>
        </w:rPr>
        <w:t xml:space="preserve">fehlenden Aufarbeitung dieser </w:t>
      </w:r>
      <w:r w:rsidR="005C264C">
        <w:rPr>
          <w:b/>
          <w:bCs/>
          <w:noProof/>
        </w:rPr>
        <w:t xml:space="preserve">sog. </w:t>
      </w:r>
      <w:r w:rsidRPr="005C264C">
        <w:rPr>
          <w:b/>
          <w:bCs/>
          <w:noProof/>
        </w:rPr>
        <w:t>Pandemie</w:t>
      </w:r>
      <w:r>
        <w:rPr>
          <w:noProof/>
        </w:rPr>
        <w:t xml:space="preserve"> zieht der </w:t>
      </w:r>
      <w:r w:rsidRPr="005C264C">
        <w:rPr>
          <w:noProof/>
        </w:rPr>
        <w:t>Bundesrat die falschen Schlüsse</w:t>
      </w:r>
      <w:r>
        <w:rPr>
          <w:noProof/>
        </w:rPr>
        <w:t xml:space="preserve"> und leitet </w:t>
      </w:r>
      <w:r w:rsidR="007226CA">
        <w:rPr>
          <w:noProof/>
        </w:rPr>
        <w:t>daraus</w:t>
      </w:r>
      <w:r w:rsidR="001E5D85">
        <w:rPr>
          <w:noProof/>
        </w:rPr>
        <w:t xml:space="preserve"> </w:t>
      </w:r>
      <w:r>
        <w:rPr>
          <w:noProof/>
        </w:rPr>
        <w:t xml:space="preserve">Änderungsvorschläge des EpG ab, die </w:t>
      </w:r>
      <w:r w:rsidR="001E5D85">
        <w:rPr>
          <w:noProof/>
        </w:rPr>
        <w:t>in einem Staat, in dem Freiheit, Demokratie und Rechtsstaatlichkeit als zentrale Werte ange</w:t>
      </w:r>
      <w:r w:rsidR="007226CA">
        <w:rPr>
          <w:noProof/>
        </w:rPr>
        <w:t>se</w:t>
      </w:r>
      <w:r w:rsidR="001E5D85">
        <w:rPr>
          <w:noProof/>
        </w:rPr>
        <w:t>hen werden, in</w:t>
      </w:r>
      <w:r>
        <w:rPr>
          <w:noProof/>
        </w:rPr>
        <w:t xml:space="preserve">akzeptabel sind. Alle Änderungen im Vorentwurf sind </w:t>
      </w:r>
      <w:r w:rsidRPr="00793E70">
        <w:rPr>
          <w:b/>
          <w:bCs/>
          <w:noProof/>
        </w:rPr>
        <w:t>pauschal abzulehnen</w:t>
      </w:r>
      <w:r w:rsidR="00601E65">
        <w:rPr>
          <w:noProof/>
        </w:rPr>
        <w:t xml:space="preserve">, da die Frage, ob es sich </w:t>
      </w:r>
      <w:r w:rsidR="002B0F69">
        <w:rPr>
          <w:noProof/>
        </w:rPr>
        <w:t xml:space="preserve">bei der Corona-Pandemie, aus der </w:t>
      </w:r>
      <w:r w:rsidR="007226CA">
        <w:rPr>
          <w:noProof/>
        </w:rPr>
        <w:t>man</w:t>
      </w:r>
      <w:r w:rsidR="002B0F69">
        <w:rPr>
          <w:noProof/>
        </w:rPr>
        <w:t xml:space="preserve"> ja lernen </w:t>
      </w:r>
      <w:r w:rsidR="007226CA">
        <w:rPr>
          <w:noProof/>
        </w:rPr>
        <w:t>sollte</w:t>
      </w:r>
      <w:r w:rsidR="002B0F69">
        <w:rPr>
          <w:noProof/>
        </w:rPr>
        <w:t xml:space="preserve">, überhaupt </w:t>
      </w:r>
      <w:r w:rsidR="00601E65">
        <w:rPr>
          <w:noProof/>
        </w:rPr>
        <w:t>um eine Pandemie und damit eine besondere Lage gehandelt hat und woher das Virus (</w:t>
      </w:r>
      <w:r w:rsidR="002B0F69">
        <w:rPr>
          <w:noProof/>
        </w:rPr>
        <w:t xml:space="preserve">wenn überhaupt, dann </w:t>
      </w:r>
      <w:r w:rsidR="00601E65">
        <w:rPr>
          <w:noProof/>
        </w:rPr>
        <w:t>aus dem Labor) kam, in der Begründung</w:t>
      </w:r>
      <w:r w:rsidR="002B0F69">
        <w:rPr>
          <w:noProof/>
        </w:rPr>
        <w:t xml:space="preserve"> für die Teilrevision</w:t>
      </w:r>
      <w:r w:rsidR="00601E65">
        <w:rPr>
          <w:noProof/>
        </w:rPr>
        <w:t xml:space="preserve"> überhaupt nicht erwähnt</w:t>
      </w:r>
      <w:r w:rsidR="002B0F69">
        <w:rPr>
          <w:noProof/>
        </w:rPr>
        <w:t xml:space="preserve"> und damit auch nicht geklärt wird</w:t>
      </w:r>
      <w:r w:rsidR="00601E65">
        <w:rPr>
          <w:noProof/>
        </w:rPr>
        <w:t>.</w:t>
      </w:r>
    </w:p>
    <w:p w14:paraId="4CC97EA7" w14:textId="77777777" w:rsidR="007770B2" w:rsidRDefault="007770B2" w:rsidP="007770B2">
      <w:pPr>
        <w:pStyle w:val="Listenabsatz"/>
        <w:rPr>
          <w:noProof/>
        </w:rPr>
      </w:pPr>
    </w:p>
    <w:p w14:paraId="6EC78C23" w14:textId="49F7BCE7" w:rsidR="00C20048" w:rsidRDefault="00C20048" w:rsidP="00C20048">
      <w:pPr>
        <w:pStyle w:val="Listenabsatz"/>
        <w:numPr>
          <w:ilvl w:val="0"/>
          <w:numId w:val="3"/>
        </w:numPr>
        <w:rPr>
          <w:noProof/>
        </w:rPr>
      </w:pPr>
      <w:r>
        <w:rPr>
          <w:noProof/>
        </w:rPr>
        <w:t>Schon gar nicht darf eine Drittpartei (z.B. die WHO) über eine besondere oder ausserordent</w:t>
      </w:r>
      <w:r w:rsidR="00D60A0B">
        <w:rPr>
          <w:noProof/>
        </w:rPr>
        <w:t>-</w:t>
      </w:r>
      <w:r>
        <w:rPr>
          <w:noProof/>
        </w:rPr>
        <w:t>liche Lage in der Schweiz entscheiden</w:t>
      </w:r>
      <w:r w:rsidR="002B0F69">
        <w:rPr>
          <w:noProof/>
        </w:rPr>
        <w:t xml:space="preserve"> und niemals ohne die Einwilligung der Schweiz, </w:t>
      </w:r>
      <w:r>
        <w:rPr>
          <w:noProof/>
        </w:rPr>
        <w:t xml:space="preserve">denn dann </w:t>
      </w:r>
      <w:r w:rsidR="002B0F69">
        <w:rPr>
          <w:noProof/>
        </w:rPr>
        <w:t>unterläge</w:t>
      </w:r>
      <w:r>
        <w:rPr>
          <w:noProof/>
        </w:rPr>
        <w:t xml:space="preserve"> das EpG </w:t>
      </w:r>
      <w:r w:rsidR="00881E53">
        <w:rPr>
          <w:noProof/>
        </w:rPr>
        <w:t xml:space="preserve">per se </w:t>
      </w:r>
      <w:r w:rsidR="000A083E">
        <w:rPr>
          <w:noProof/>
        </w:rPr>
        <w:t>fremder</w:t>
      </w:r>
      <w:r>
        <w:rPr>
          <w:noProof/>
        </w:rPr>
        <w:t xml:space="preserve"> </w:t>
      </w:r>
      <w:r w:rsidRPr="00793E70">
        <w:rPr>
          <w:b/>
          <w:bCs/>
          <w:noProof/>
        </w:rPr>
        <w:t>Willkür</w:t>
      </w:r>
      <w:r>
        <w:rPr>
          <w:noProof/>
        </w:rPr>
        <w:t>.</w:t>
      </w:r>
    </w:p>
    <w:p w14:paraId="58AD0BF5" w14:textId="77777777" w:rsidR="007770B2" w:rsidRDefault="007770B2" w:rsidP="007770B2">
      <w:pPr>
        <w:pStyle w:val="Listenabsatz"/>
        <w:rPr>
          <w:noProof/>
        </w:rPr>
      </w:pPr>
    </w:p>
    <w:p w14:paraId="642BA8A1" w14:textId="5E97FA20" w:rsidR="007770B2" w:rsidRDefault="00C20048" w:rsidP="00212765">
      <w:pPr>
        <w:pStyle w:val="Listenabsatz"/>
        <w:numPr>
          <w:ilvl w:val="0"/>
          <w:numId w:val="3"/>
        </w:numPr>
        <w:rPr>
          <w:noProof/>
        </w:rPr>
      </w:pPr>
      <w:r>
        <w:rPr>
          <w:noProof/>
        </w:rPr>
        <w:t xml:space="preserve">Da </w:t>
      </w:r>
      <w:r w:rsidR="005A6407">
        <w:rPr>
          <w:noProof/>
        </w:rPr>
        <w:t xml:space="preserve">in der Revisionsbegründung </w:t>
      </w:r>
      <w:r w:rsidR="00881E53">
        <w:rPr>
          <w:noProof/>
        </w:rPr>
        <w:t>nachweislich</w:t>
      </w:r>
      <w:r>
        <w:rPr>
          <w:noProof/>
        </w:rPr>
        <w:t xml:space="preserve"> falsche Schlüsse aus der sog. Corona-Pandemie gezogen werden, wird die </w:t>
      </w:r>
      <w:r w:rsidRPr="00793E70">
        <w:rPr>
          <w:b/>
          <w:bCs/>
          <w:noProof/>
        </w:rPr>
        <w:t xml:space="preserve">Rolle, die die WHO </w:t>
      </w:r>
      <w:r w:rsidR="005A6407">
        <w:rPr>
          <w:b/>
          <w:bCs/>
          <w:noProof/>
        </w:rPr>
        <w:t xml:space="preserve">hier </w:t>
      </w:r>
      <w:r w:rsidRPr="00793E70">
        <w:rPr>
          <w:b/>
          <w:bCs/>
          <w:noProof/>
        </w:rPr>
        <w:t>gespielt hat</w:t>
      </w:r>
      <w:r>
        <w:rPr>
          <w:noProof/>
        </w:rPr>
        <w:t>,</w:t>
      </w:r>
      <w:r w:rsidR="00785F8A">
        <w:rPr>
          <w:noProof/>
        </w:rPr>
        <w:t xml:space="preserve"> </w:t>
      </w:r>
      <w:r w:rsidR="00881E53">
        <w:rPr>
          <w:noProof/>
        </w:rPr>
        <w:t xml:space="preserve">auch </w:t>
      </w:r>
      <w:r>
        <w:rPr>
          <w:noProof/>
        </w:rPr>
        <w:t>nicht thematisiert. Hieraus k</w:t>
      </w:r>
      <w:r w:rsidR="00785F8A">
        <w:rPr>
          <w:noProof/>
        </w:rPr>
        <w:t>önnte</w:t>
      </w:r>
      <w:r w:rsidR="00881E53">
        <w:rPr>
          <w:noProof/>
        </w:rPr>
        <w:t xml:space="preserve"> </w:t>
      </w:r>
      <w:r>
        <w:rPr>
          <w:noProof/>
        </w:rPr>
        <w:t>aber abgeleitet werden, dass es keinen einzigen Grund gibt, der WHO eine Machtausweitung zuzugestehen.</w:t>
      </w:r>
      <w:r w:rsidR="00881E53">
        <w:rPr>
          <w:noProof/>
        </w:rPr>
        <w:t xml:space="preserve"> Ganz im Gegenteil</w:t>
      </w:r>
      <w:r w:rsidR="00C62AF9">
        <w:rPr>
          <w:noProof/>
        </w:rPr>
        <w:t xml:space="preserve">: </w:t>
      </w:r>
      <w:r w:rsidR="00881E53">
        <w:rPr>
          <w:noProof/>
        </w:rPr>
        <w:t xml:space="preserve">Eher deren </w:t>
      </w:r>
      <w:r w:rsidR="00596591">
        <w:rPr>
          <w:noProof/>
        </w:rPr>
        <w:t>Abschaffung!</w:t>
      </w:r>
    </w:p>
    <w:p w14:paraId="6F45CF39" w14:textId="77777777" w:rsidR="007770B2" w:rsidRDefault="007770B2" w:rsidP="007770B2">
      <w:pPr>
        <w:pStyle w:val="Listenabsatz"/>
        <w:rPr>
          <w:noProof/>
        </w:rPr>
      </w:pPr>
    </w:p>
    <w:p w14:paraId="4C05C5A8" w14:textId="564F1589" w:rsidR="001E2D87" w:rsidRDefault="001E2D87" w:rsidP="00C20048">
      <w:pPr>
        <w:pStyle w:val="Listenabsatz"/>
        <w:numPr>
          <w:ilvl w:val="0"/>
          <w:numId w:val="3"/>
        </w:numPr>
        <w:rPr>
          <w:noProof/>
        </w:rPr>
      </w:pPr>
      <w:r>
        <w:rPr>
          <w:noProof/>
        </w:rPr>
        <w:t xml:space="preserve">Und erst recht gibt es keinen </w:t>
      </w:r>
      <w:r w:rsidR="00C62AF9">
        <w:rPr>
          <w:noProof/>
        </w:rPr>
        <w:t xml:space="preserve">objektiven </w:t>
      </w:r>
      <w:r>
        <w:rPr>
          <w:noProof/>
        </w:rPr>
        <w:t>Grund, im vorauseilenden Gehorsam die Änderungs</w:t>
      </w:r>
      <w:r w:rsidR="008970C4">
        <w:rPr>
          <w:noProof/>
        </w:rPr>
        <w:t>-</w:t>
      </w:r>
      <w:r>
        <w:rPr>
          <w:noProof/>
        </w:rPr>
        <w:t>wünsche der WHO hinsichtlich der Internationalen Gesundheitsvorschriften</w:t>
      </w:r>
      <w:r w:rsidR="00787296">
        <w:rPr>
          <w:noProof/>
        </w:rPr>
        <w:t xml:space="preserve"> (IGV) schon jetzt</w:t>
      </w:r>
      <w:r>
        <w:rPr>
          <w:noProof/>
        </w:rPr>
        <w:t xml:space="preserve"> </w:t>
      </w:r>
      <w:r w:rsidR="00787296">
        <w:rPr>
          <w:noProof/>
        </w:rPr>
        <w:t>durch eine Erweiterung des</w:t>
      </w:r>
      <w:r>
        <w:rPr>
          <w:noProof/>
        </w:rPr>
        <w:t xml:space="preserve"> Epidemiengesetz</w:t>
      </w:r>
      <w:r w:rsidR="00787296">
        <w:rPr>
          <w:noProof/>
        </w:rPr>
        <w:t>es</w:t>
      </w:r>
      <w:r>
        <w:rPr>
          <w:noProof/>
        </w:rPr>
        <w:t xml:space="preserve"> </w:t>
      </w:r>
      <w:r w:rsidR="00787296">
        <w:rPr>
          <w:noProof/>
        </w:rPr>
        <w:t>in nationales Recht umzusetzen.</w:t>
      </w:r>
    </w:p>
    <w:p w14:paraId="4457A7C7" w14:textId="77777777" w:rsidR="007770B2" w:rsidRDefault="007770B2" w:rsidP="007770B2">
      <w:pPr>
        <w:pStyle w:val="Listenabsatz"/>
        <w:rPr>
          <w:noProof/>
        </w:rPr>
      </w:pPr>
    </w:p>
    <w:p w14:paraId="2881B5D9" w14:textId="4972105F" w:rsidR="007770B2" w:rsidRDefault="00DF2853" w:rsidP="00212765">
      <w:pPr>
        <w:pStyle w:val="Listenabsatz"/>
        <w:numPr>
          <w:ilvl w:val="0"/>
          <w:numId w:val="3"/>
        </w:numPr>
        <w:rPr>
          <w:noProof/>
        </w:rPr>
      </w:pPr>
      <w:r>
        <w:rPr>
          <w:noProof/>
        </w:rPr>
        <w:t>Auch</w:t>
      </w:r>
      <w:r w:rsidR="00785F8A">
        <w:rPr>
          <w:noProof/>
        </w:rPr>
        <w:t xml:space="preserve"> hat</w:t>
      </w:r>
      <w:r w:rsidR="00161D01">
        <w:rPr>
          <w:noProof/>
        </w:rPr>
        <w:t xml:space="preserve"> der One</w:t>
      </w:r>
      <w:r w:rsidR="00793E70">
        <w:rPr>
          <w:noProof/>
        </w:rPr>
        <w:t>-</w:t>
      </w:r>
      <w:r w:rsidR="00161D01">
        <w:rPr>
          <w:noProof/>
        </w:rPr>
        <w:t>Health</w:t>
      </w:r>
      <w:r w:rsidR="00054169">
        <w:rPr>
          <w:noProof/>
        </w:rPr>
        <w:t>-</w:t>
      </w:r>
      <w:r w:rsidR="00161D01">
        <w:rPr>
          <w:noProof/>
        </w:rPr>
        <w:t>Ansatz der WHO und der Vereinten Nationen (UN) nichts im Epide</w:t>
      </w:r>
      <w:r>
        <w:rPr>
          <w:noProof/>
        </w:rPr>
        <w:t>-</w:t>
      </w:r>
      <w:r w:rsidR="00161D01">
        <w:rPr>
          <w:noProof/>
        </w:rPr>
        <w:t xml:space="preserve">miengesetz oder anderen Schweizer Gesetzen zu suchen. </w:t>
      </w:r>
      <w:r w:rsidR="007C08A7">
        <w:rPr>
          <w:noProof/>
        </w:rPr>
        <w:t xml:space="preserve">Wann hat der Souverän diesem Ansatz als “Leitmotiv“ für alle seine Lebenslagen zugestimmt? </w:t>
      </w:r>
      <w:r w:rsidR="00054169">
        <w:rPr>
          <w:noProof/>
        </w:rPr>
        <w:t xml:space="preserve">Nach der Bundesverfassung </w:t>
      </w:r>
      <w:r w:rsidR="00054169">
        <w:rPr>
          <w:noProof/>
        </w:rPr>
        <w:lastRenderedPageBreak/>
        <w:t>sind Mensch und Tier NICHT gleichgestellt (Art. 8</w:t>
      </w:r>
      <w:r w:rsidR="00483F65">
        <w:rPr>
          <w:noProof/>
        </w:rPr>
        <w:t xml:space="preserve"> BV</w:t>
      </w:r>
      <w:r w:rsidR="00054169">
        <w:rPr>
          <w:noProof/>
        </w:rPr>
        <w:t>) und es heisst auch nicht, dass jedes Tier (oder jede Pflanze) ein Recht auf Leben hat (Art. 10</w:t>
      </w:r>
      <w:r w:rsidR="00483F65">
        <w:rPr>
          <w:noProof/>
        </w:rPr>
        <w:t xml:space="preserve"> BV</w:t>
      </w:r>
      <w:r w:rsidR="00054169">
        <w:rPr>
          <w:noProof/>
        </w:rPr>
        <w:t xml:space="preserve">). </w:t>
      </w:r>
      <w:r w:rsidR="007C08A7">
        <w:rPr>
          <w:noProof/>
        </w:rPr>
        <w:t>Wäre dem so, könnten für die Menschen vernichtende Urteile gefällt werden (z.B. das</w:t>
      </w:r>
      <w:r w:rsidR="00F65DCE">
        <w:rPr>
          <w:noProof/>
        </w:rPr>
        <w:t>s</w:t>
      </w:r>
      <w:r w:rsidR="007C08A7">
        <w:rPr>
          <w:noProof/>
        </w:rPr>
        <w:t xml:space="preserve"> wir zu viele </w:t>
      </w:r>
      <w:r w:rsidR="00F65DCE">
        <w:rPr>
          <w:noProof/>
        </w:rPr>
        <w:t xml:space="preserve">Menschen </w:t>
      </w:r>
      <w:r w:rsidR="007C08A7">
        <w:rPr>
          <w:noProof/>
        </w:rPr>
        <w:t>auf diesem Planeten sind).</w:t>
      </w:r>
    </w:p>
    <w:p w14:paraId="45715975" w14:textId="77777777" w:rsidR="007770B2" w:rsidRDefault="007770B2" w:rsidP="007770B2">
      <w:pPr>
        <w:pStyle w:val="Listenabsatz"/>
        <w:rPr>
          <w:noProof/>
        </w:rPr>
      </w:pPr>
    </w:p>
    <w:p w14:paraId="72A737DF" w14:textId="37EAEB72" w:rsidR="003B1A28" w:rsidRDefault="003B1A28" w:rsidP="00C20048">
      <w:pPr>
        <w:pStyle w:val="Listenabsatz"/>
        <w:numPr>
          <w:ilvl w:val="0"/>
          <w:numId w:val="3"/>
        </w:numPr>
        <w:rPr>
          <w:noProof/>
        </w:rPr>
      </w:pPr>
      <w:r>
        <w:rPr>
          <w:noProof/>
        </w:rPr>
        <w:t xml:space="preserve">Es </w:t>
      </w:r>
      <w:r w:rsidR="00DB1F8D">
        <w:rPr>
          <w:noProof/>
        </w:rPr>
        <w:t xml:space="preserve">ist </w:t>
      </w:r>
      <w:r>
        <w:rPr>
          <w:noProof/>
        </w:rPr>
        <w:t xml:space="preserve">zwingend zu definieren, was unter “Impfung“ </w:t>
      </w:r>
      <w:r w:rsidR="007C08A7">
        <w:rPr>
          <w:noProof/>
        </w:rPr>
        <w:t>zu verstehen ist</w:t>
      </w:r>
      <w:r>
        <w:rPr>
          <w:noProof/>
        </w:rPr>
        <w:t>, weil die COVID-19-Impfung eine Gentherapie und keine Impfung im herkömmlichen Sinne (und auch nicht im Sinne des Patentrechts) war, nämlich ein Mittel zur direkten Immunisierung</w:t>
      </w:r>
      <w:r w:rsidR="0013221A">
        <w:rPr>
          <w:noProof/>
        </w:rPr>
        <w:t xml:space="preserve">, d.h. </w:t>
      </w:r>
      <w:r w:rsidR="0013221A" w:rsidRPr="00793E70">
        <w:rPr>
          <w:noProof/>
        </w:rPr>
        <w:t>Nichtan</w:t>
      </w:r>
      <w:r w:rsidR="001F5C5E">
        <w:rPr>
          <w:noProof/>
        </w:rPr>
        <w:t>-</w:t>
      </w:r>
      <w:r w:rsidR="0013221A" w:rsidRPr="00793E70">
        <w:rPr>
          <w:noProof/>
        </w:rPr>
        <w:t>steckung und Nicht</w:t>
      </w:r>
      <w:r w:rsidR="001F5C5E">
        <w:rPr>
          <w:noProof/>
        </w:rPr>
        <w:t>w</w:t>
      </w:r>
      <w:r w:rsidR="0013221A" w:rsidRPr="00793E70">
        <w:rPr>
          <w:noProof/>
        </w:rPr>
        <w:t>eitergabe eines Krankheitserregers</w:t>
      </w:r>
      <w:r w:rsidRPr="00793E70">
        <w:rPr>
          <w:noProof/>
        </w:rPr>
        <w:t>.</w:t>
      </w:r>
    </w:p>
    <w:p w14:paraId="5BF96EC1" w14:textId="77777777" w:rsidR="007770B2" w:rsidRPr="00793E70" w:rsidRDefault="007770B2" w:rsidP="007770B2">
      <w:pPr>
        <w:pStyle w:val="Listenabsatz"/>
        <w:rPr>
          <w:noProof/>
        </w:rPr>
      </w:pPr>
    </w:p>
    <w:p w14:paraId="37935BA0" w14:textId="0A100BD8" w:rsidR="005C4F00" w:rsidRPr="00793E70" w:rsidRDefault="00793E70" w:rsidP="00C20048">
      <w:pPr>
        <w:pStyle w:val="Listenabsatz"/>
        <w:numPr>
          <w:ilvl w:val="0"/>
          <w:numId w:val="3"/>
        </w:numPr>
        <w:rPr>
          <w:noProof/>
        </w:rPr>
      </w:pPr>
      <w:r w:rsidRPr="00793E70">
        <w:rPr>
          <w:noProof/>
        </w:rPr>
        <w:t xml:space="preserve">Die sog. </w:t>
      </w:r>
      <w:r w:rsidR="005C4F00" w:rsidRPr="00793E70">
        <w:rPr>
          <w:noProof/>
        </w:rPr>
        <w:t>Gain</w:t>
      </w:r>
      <w:r w:rsidRPr="00793E70">
        <w:rPr>
          <w:noProof/>
        </w:rPr>
        <w:t xml:space="preserve">-of-Function-Forschung muss </w:t>
      </w:r>
      <w:r w:rsidRPr="0021718D">
        <w:rPr>
          <w:b/>
          <w:bCs/>
          <w:noProof/>
        </w:rPr>
        <w:t>weltweit verboten werden</w:t>
      </w:r>
      <w:r w:rsidRPr="00793E70">
        <w:rPr>
          <w:noProof/>
        </w:rPr>
        <w:t xml:space="preserve">, will man die </w:t>
      </w:r>
      <w:r w:rsidR="007C08A7">
        <w:rPr>
          <w:noProof/>
        </w:rPr>
        <w:t>konti</w:t>
      </w:r>
      <w:r w:rsidR="00FC14F6">
        <w:rPr>
          <w:noProof/>
        </w:rPr>
        <w:t>-</w:t>
      </w:r>
      <w:r w:rsidR="007C08A7">
        <w:rPr>
          <w:noProof/>
        </w:rPr>
        <w:t>nuierliche</w:t>
      </w:r>
      <w:r w:rsidRPr="00793E70">
        <w:rPr>
          <w:noProof/>
        </w:rPr>
        <w:t xml:space="preserve"> Erzeugung von Laborviren und deren </w:t>
      </w:r>
      <w:r w:rsidR="007C0459">
        <w:rPr>
          <w:noProof/>
        </w:rPr>
        <w:t xml:space="preserve">versehentliches oder absichtliches </w:t>
      </w:r>
      <w:r w:rsidR="00447D00">
        <w:rPr>
          <w:noProof/>
        </w:rPr>
        <w:t xml:space="preserve">(vorsätzliches) </w:t>
      </w:r>
      <w:r w:rsidR="007C0459">
        <w:rPr>
          <w:noProof/>
        </w:rPr>
        <w:t>Entweichen</w:t>
      </w:r>
      <w:r w:rsidRPr="00793E70">
        <w:rPr>
          <w:noProof/>
        </w:rPr>
        <w:t xml:space="preserve"> </w:t>
      </w:r>
      <w:r w:rsidR="00212765">
        <w:rPr>
          <w:noProof/>
        </w:rPr>
        <w:t>in Zukunft</w:t>
      </w:r>
      <w:r w:rsidRPr="00793E70">
        <w:rPr>
          <w:noProof/>
        </w:rPr>
        <w:t xml:space="preserve"> verhindern.</w:t>
      </w:r>
    </w:p>
    <w:p w14:paraId="3CCDAC05" w14:textId="77777777" w:rsidR="00C20048" w:rsidRDefault="00C20048">
      <w:pPr>
        <w:rPr>
          <w:noProof/>
        </w:rPr>
      </w:pPr>
    </w:p>
    <w:p w14:paraId="7AE383B2" w14:textId="77777777" w:rsidR="00CE6829" w:rsidRDefault="00CE6829">
      <w:pPr>
        <w:rPr>
          <w:noProof/>
        </w:rPr>
      </w:pPr>
    </w:p>
    <w:sectPr w:rsidR="00CE682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C2D4" w14:textId="77777777" w:rsidR="00524A99" w:rsidRDefault="00524A99" w:rsidP="00CE6829">
      <w:pPr>
        <w:spacing w:after="0" w:line="240" w:lineRule="auto"/>
      </w:pPr>
      <w:r>
        <w:separator/>
      </w:r>
    </w:p>
  </w:endnote>
  <w:endnote w:type="continuationSeparator" w:id="0">
    <w:p w14:paraId="745F8AD2" w14:textId="77777777" w:rsidR="00524A99" w:rsidRDefault="00524A99" w:rsidP="00C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42617"/>
      <w:docPartObj>
        <w:docPartGallery w:val="Page Numbers (Bottom of Page)"/>
        <w:docPartUnique/>
      </w:docPartObj>
    </w:sdtPr>
    <w:sdtEndPr>
      <w:rPr>
        <w:rFonts w:ascii="Calibri" w:hAnsi="Calibri" w:cs="Calibri"/>
        <w:sz w:val="18"/>
        <w:szCs w:val="18"/>
      </w:rPr>
    </w:sdtEndPr>
    <w:sdtContent>
      <w:p w14:paraId="2356FB8C" w14:textId="29712BC3" w:rsidR="00463FB2" w:rsidRPr="00D415C9" w:rsidRDefault="00463FB2">
        <w:pPr>
          <w:pStyle w:val="Fuzeile"/>
          <w:jc w:val="center"/>
          <w:rPr>
            <w:rFonts w:ascii="Calibri" w:hAnsi="Calibri" w:cs="Calibri"/>
            <w:sz w:val="18"/>
            <w:szCs w:val="18"/>
          </w:rPr>
        </w:pPr>
        <w:r w:rsidRPr="00D415C9">
          <w:rPr>
            <w:rFonts w:ascii="Calibri" w:hAnsi="Calibri" w:cs="Calibri"/>
            <w:sz w:val="18"/>
            <w:szCs w:val="18"/>
          </w:rPr>
          <w:fldChar w:fldCharType="begin"/>
        </w:r>
        <w:r w:rsidRPr="00D415C9">
          <w:rPr>
            <w:rFonts w:ascii="Calibri" w:hAnsi="Calibri" w:cs="Calibri"/>
            <w:sz w:val="18"/>
            <w:szCs w:val="18"/>
          </w:rPr>
          <w:instrText>PAGE   \* MERGEFORMAT</w:instrText>
        </w:r>
        <w:r w:rsidRPr="00D415C9">
          <w:rPr>
            <w:rFonts w:ascii="Calibri" w:hAnsi="Calibri" w:cs="Calibri"/>
            <w:sz w:val="18"/>
            <w:szCs w:val="18"/>
          </w:rPr>
          <w:fldChar w:fldCharType="separate"/>
        </w:r>
        <w:r w:rsidRPr="00D415C9">
          <w:rPr>
            <w:rFonts w:ascii="Calibri" w:hAnsi="Calibri" w:cs="Calibri"/>
            <w:sz w:val="18"/>
            <w:szCs w:val="18"/>
          </w:rPr>
          <w:t>2</w:t>
        </w:r>
        <w:r w:rsidRPr="00D415C9">
          <w:rPr>
            <w:rFonts w:ascii="Calibri" w:hAnsi="Calibri" w:cs="Calibri"/>
            <w:sz w:val="18"/>
            <w:szCs w:val="18"/>
          </w:rPr>
          <w:fldChar w:fldCharType="end"/>
        </w:r>
      </w:p>
    </w:sdtContent>
  </w:sdt>
  <w:p w14:paraId="20C5E34B" w14:textId="77777777" w:rsidR="00463FB2" w:rsidRDefault="00463F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FBCC" w14:textId="77777777" w:rsidR="00524A99" w:rsidRDefault="00524A99" w:rsidP="00CE6829">
      <w:pPr>
        <w:spacing w:after="0" w:line="240" w:lineRule="auto"/>
      </w:pPr>
      <w:r>
        <w:separator/>
      </w:r>
    </w:p>
  </w:footnote>
  <w:footnote w:type="continuationSeparator" w:id="0">
    <w:p w14:paraId="1DEDBCF4" w14:textId="77777777" w:rsidR="00524A99" w:rsidRDefault="00524A99" w:rsidP="00C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E21"/>
    <w:multiLevelType w:val="hybridMultilevel"/>
    <w:tmpl w:val="10A4ACA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F70F43"/>
    <w:multiLevelType w:val="hybridMultilevel"/>
    <w:tmpl w:val="505C6E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B53065"/>
    <w:multiLevelType w:val="hybridMultilevel"/>
    <w:tmpl w:val="EDD49C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13C7608"/>
    <w:multiLevelType w:val="hybridMultilevel"/>
    <w:tmpl w:val="2BC81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51074B"/>
    <w:multiLevelType w:val="hybridMultilevel"/>
    <w:tmpl w:val="F098AA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D2334"/>
    <w:multiLevelType w:val="hybridMultilevel"/>
    <w:tmpl w:val="811804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1928382">
    <w:abstractNumId w:val="4"/>
  </w:num>
  <w:num w:numId="2" w16cid:durableId="402605084">
    <w:abstractNumId w:val="3"/>
  </w:num>
  <w:num w:numId="3" w16cid:durableId="833450289">
    <w:abstractNumId w:val="1"/>
  </w:num>
  <w:num w:numId="4" w16cid:durableId="582490423">
    <w:abstractNumId w:val="2"/>
  </w:num>
  <w:num w:numId="5" w16cid:durableId="924610894">
    <w:abstractNumId w:val="0"/>
  </w:num>
  <w:num w:numId="6" w16cid:durableId="73762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29"/>
    <w:rsid w:val="00005693"/>
    <w:rsid w:val="00010BA7"/>
    <w:rsid w:val="00015672"/>
    <w:rsid w:val="00024C11"/>
    <w:rsid w:val="000325ED"/>
    <w:rsid w:val="000361DE"/>
    <w:rsid w:val="00054169"/>
    <w:rsid w:val="0006637B"/>
    <w:rsid w:val="00071D92"/>
    <w:rsid w:val="00075E7C"/>
    <w:rsid w:val="00086034"/>
    <w:rsid w:val="00086AE8"/>
    <w:rsid w:val="000A083E"/>
    <w:rsid w:val="000E1884"/>
    <w:rsid w:val="001251BB"/>
    <w:rsid w:val="0013221A"/>
    <w:rsid w:val="00145CC3"/>
    <w:rsid w:val="00161D01"/>
    <w:rsid w:val="00162B8B"/>
    <w:rsid w:val="00180F07"/>
    <w:rsid w:val="00183B1E"/>
    <w:rsid w:val="0018599E"/>
    <w:rsid w:val="001A4DC6"/>
    <w:rsid w:val="001E2D87"/>
    <w:rsid w:val="001E34C0"/>
    <w:rsid w:val="001E5D85"/>
    <w:rsid w:val="001E6AD2"/>
    <w:rsid w:val="001F5C5E"/>
    <w:rsid w:val="00212765"/>
    <w:rsid w:val="0021718D"/>
    <w:rsid w:val="00262F51"/>
    <w:rsid w:val="002A39FA"/>
    <w:rsid w:val="002B0F69"/>
    <w:rsid w:val="002F70B2"/>
    <w:rsid w:val="0033708F"/>
    <w:rsid w:val="00351974"/>
    <w:rsid w:val="00381DA2"/>
    <w:rsid w:val="00387B36"/>
    <w:rsid w:val="0039521E"/>
    <w:rsid w:val="003A6F4D"/>
    <w:rsid w:val="003B1A28"/>
    <w:rsid w:val="003B5111"/>
    <w:rsid w:val="003D3CA8"/>
    <w:rsid w:val="003F244E"/>
    <w:rsid w:val="00414AC1"/>
    <w:rsid w:val="00425ECF"/>
    <w:rsid w:val="0043260E"/>
    <w:rsid w:val="00432D76"/>
    <w:rsid w:val="00441A92"/>
    <w:rsid w:val="00443FD3"/>
    <w:rsid w:val="00447D00"/>
    <w:rsid w:val="00462116"/>
    <w:rsid w:val="00463FB2"/>
    <w:rsid w:val="00470517"/>
    <w:rsid w:val="00483F65"/>
    <w:rsid w:val="004A7572"/>
    <w:rsid w:val="004A7E0E"/>
    <w:rsid w:val="004B28C2"/>
    <w:rsid w:val="004E456E"/>
    <w:rsid w:val="004F1F3C"/>
    <w:rsid w:val="00502DF9"/>
    <w:rsid w:val="00524A99"/>
    <w:rsid w:val="0055687D"/>
    <w:rsid w:val="005572EF"/>
    <w:rsid w:val="00557733"/>
    <w:rsid w:val="005767EB"/>
    <w:rsid w:val="00596591"/>
    <w:rsid w:val="0059756E"/>
    <w:rsid w:val="005A6407"/>
    <w:rsid w:val="005C1C33"/>
    <w:rsid w:val="005C264C"/>
    <w:rsid w:val="005C4F00"/>
    <w:rsid w:val="005D754D"/>
    <w:rsid w:val="005E3ECC"/>
    <w:rsid w:val="00601E65"/>
    <w:rsid w:val="006145E4"/>
    <w:rsid w:val="0062297F"/>
    <w:rsid w:val="00635D8A"/>
    <w:rsid w:val="006420F6"/>
    <w:rsid w:val="00665C39"/>
    <w:rsid w:val="00672E54"/>
    <w:rsid w:val="00677B93"/>
    <w:rsid w:val="00682CF0"/>
    <w:rsid w:val="006E69D8"/>
    <w:rsid w:val="007226CA"/>
    <w:rsid w:val="007444DC"/>
    <w:rsid w:val="00761227"/>
    <w:rsid w:val="00761D07"/>
    <w:rsid w:val="00766AF9"/>
    <w:rsid w:val="00770A8D"/>
    <w:rsid w:val="00771CA3"/>
    <w:rsid w:val="007770B2"/>
    <w:rsid w:val="00785F8A"/>
    <w:rsid w:val="00787296"/>
    <w:rsid w:val="00791854"/>
    <w:rsid w:val="00793E70"/>
    <w:rsid w:val="007A7A69"/>
    <w:rsid w:val="007A7BB7"/>
    <w:rsid w:val="007C0459"/>
    <w:rsid w:val="007C08A7"/>
    <w:rsid w:val="007C3868"/>
    <w:rsid w:val="007D3158"/>
    <w:rsid w:val="007D58C7"/>
    <w:rsid w:val="007F7072"/>
    <w:rsid w:val="00802BEB"/>
    <w:rsid w:val="00807F63"/>
    <w:rsid w:val="00826B68"/>
    <w:rsid w:val="008415C9"/>
    <w:rsid w:val="008423FD"/>
    <w:rsid w:val="00842807"/>
    <w:rsid w:val="00855824"/>
    <w:rsid w:val="00881E53"/>
    <w:rsid w:val="008970C4"/>
    <w:rsid w:val="008C5B3E"/>
    <w:rsid w:val="008D3963"/>
    <w:rsid w:val="008E0EC1"/>
    <w:rsid w:val="008F137F"/>
    <w:rsid w:val="00963C34"/>
    <w:rsid w:val="00974409"/>
    <w:rsid w:val="00A36298"/>
    <w:rsid w:val="00A42C9A"/>
    <w:rsid w:val="00A43600"/>
    <w:rsid w:val="00A53DFE"/>
    <w:rsid w:val="00A56FAB"/>
    <w:rsid w:val="00A600F1"/>
    <w:rsid w:val="00A87EAA"/>
    <w:rsid w:val="00A9058A"/>
    <w:rsid w:val="00A937BE"/>
    <w:rsid w:val="00A97EC4"/>
    <w:rsid w:val="00AA665A"/>
    <w:rsid w:val="00AC1C02"/>
    <w:rsid w:val="00AC7283"/>
    <w:rsid w:val="00AE168F"/>
    <w:rsid w:val="00AF1A23"/>
    <w:rsid w:val="00B108DE"/>
    <w:rsid w:val="00B11E14"/>
    <w:rsid w:val="00B254BD"/>
    <w:rsid w:val="00B3056F"/>
    <w:rsid w:val="00B417D9"/>
    <w:rsid w:val="00B5386E"/>
    <w:rsid w:val="00B54BCA"/>
    <w:rsid w:val="00B572D9"/>
    <w:rsid w:val="00BA4CFD"/>
    <w:rsid w:val="00BD6331"/>
    <w:rsid w:val="00BE04D4"/>
    <w:rsid w:val="00C079E1"/>
    <w:rsid w:val="00C1316B"/>
    <w:rsid w:val="00C20048"/>
    <w:rsid w:val="00C3199D"/>
    <w:rsid w:val="00C33879"/>
    <w:rsid w:val="00C35D2E"/>
    <w:rsid w:val="00C54B06"/>
    <w:rsid w:val="00C62AF9"/>
    <w:rsid w:val="00C87169"/>
    <w:rsid w:val="00CB5015"/>
    <w:rsid w:val="00CE6829"/>
    <w:rsid w:val="00D3248E"/>
    <w:rsid w:val="00D362E4"/>
    <w:rsid w:val="00D415C9"/>
    <w:rsid w:val="00D45F2B"/>
    <w:rsid w:val="00D60A0B"/>
    <w:rsid w:val="00D856F9"/>
    <w:rsid w:val="00D939CA"/>
    <w:rsid w:val="00DB1F8D"/>
    <w:rsid w:val="00DB25B9"/>
    <w:rsid w:val="00DB3B6D"/>
    <w:rsid w:val="00DB4EFC"/>
    <w:rsid w:val="00DF2853"/>
    <w:rsid w:val="00E02327"/>
    <w:rsid w:val="00E057A6"/>
    <w:rsid w:val="00E20612"/>
    <w:rsid w:val="00E264D6"/>
    <w:rsid w:val="00E3218C"/>
    <w:rsid w:val="00E750EB"/>
    <w:rsid w:val="00E96BD5"/>
    <w:rsid w:val="00EA32DB"/>
    <w:rsid w:val="00ED7924"/>
    <w:rsid w:val="00ED7C93"/>
    <w:rsid w:val="00EE1370"/>
    <w:rsid w:val="00F21726"/>
    <w:rsid w:val="00F279AF"/>
    <w:rsid w:val="00F41393"/>
    <w:rsid w:val="00F417D3"/>
    <w:rsid w:val="00F65DCE"/>
    <w:rsid w:val="00F76D13"/>
    <w:rsid w:val="00F964FE"/>
    <w:rsid w:val="00FC14F6"/>
    <w:rsid w:val="00FD11E3"/>
    <w:rsid w:val="00FF5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2397"/>
  <w15:chartTrackingRefBased/>
  <w15:docId w15:val="{CCA23930-443C-4045-997A-16E5A55A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basedOn w:val="Standard"/>
    <w:link w:val="berschrift6Zchn"/>
    <w:uiPriority w:val="9"/>
    <w:qFormat/>
    <w:rsid w:val="002F70B2"/>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68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6829"/>
  </w:style>
  <w:style w:type="paragraph" w:styleId="Fuzeile">
    <w:name w:val="footer"/>
    <w:basedOn w:val="Standard"/>
    <w:link w:val="FuzeileZchn"/>
    <w:uiPriority w:val="99"/>
    <w:unhideWhenUsed/>
    <w:rsid w:val="00CE68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6829"/>
  </w:style>
  <w:style w:type="paragraph" w:styleId="Listenabsatz">
    <w:name w:val="List Paragraph"/>
    <w:basedOn w:val="Standard"/>
    <w:uiPriority w:val="34"/>
    <w:qFormat/>
    <w:rsid w:val="00974409"/>
    <w:pPr>
      <w:ind w:left="720"/>
      <w:contextualSpacing/>
    </w:pPr>
  </w:style>
  <w:style w:type="character" w:customStyle="1" w:styleId="berschrift6Zchn">
    <w:name w:val="Überschrift 6 Zchn"/>
    <w:basedOn w:val="Absatz-Standardschriftart"/>
    <w:link w:val="berschrift6"/>
    <w:uiPriority w:val="9"/>
    <w:rsid w:val="002F70B2"/>
    <w:rPr>
      <w:rFonts w:ascii="Times New Roman" w:eastAsia="Times New Roman" w:hAnsi="Times New Roman" w:cs="Times New Roman"/>
      <w:b/>
      <w:bCs/>
      <w:kern w:val="0"/>
      <w:sz w:val="15"/>
      <w:szCs w:val="15"/>
      <w:lang w:eastAsia="de-DE"/>
      <w14:ligatures w14:val="none"/>
    </w:rPr>
  </w:style>
  <w:style w:type="character" w:styleId="Hyperlink">
    <w:name w:val="Hyperlink"/>
    <w:basedOn w:val="Absatz-Standardschriftart"/>
    <w:uiPriority w:val="99"/>
    <w:semiHidden/>
    <w:unhideWhenUsed/>
    <w:rsid w:val="002F70B2"/>
    <w:rPr>
      <w:color w:val="0000FF"/>
      <w:u w:val="single"/>
    </w:rPr>
  </w:style>
  <w:style w:type="paragraph" w:customStyle="1" w:styleId="absatz">
    <w:name w:val="absatz"/>
    <w:basedOn w:val="Standard"/>
    <w:rsid w:val="002F70B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13569">
      <w:bodyDiv w:val="1"/>
      <w:marLeft w:val="0"/>
      <w:marRight w:val="0"/>
      <w:marTop w:val="0"/>
      <w:marBottom w:val="0"/>
      <w:divBdr>
        <w:top w:val="none" w:sz="0" w:space="0" w:color="auto"/>
        <w:left w:val="none" w:sz="0" w:space="0" w:color="auto"/>
        <w:bottom w:val="none" w:sz="0" w:space="0" w:color="auto"/>
        <w:right w:val="none" w:sz="0" w:space="0" w:color="auto"/>
      </w:divBdr>
      <w:divsChild>
        <w:div w:id="796338161">
          <w:marLeft w:val="0"/>
          <w:marRight w:val="0"/>
          <w:marTop w:val="0"/>
          <w:marBottom w:val="0"/>
          <w:divBdr>
            <w:top w:val="none" w:sz="0" w:space="0" w:color="auto"/>
            <w:left w:val="none" w:sz="0" w:space="0" w:color="auto"/>
            <w:bottom w:val="none" w:sz="0" w:space="0" w:color="auto"/>
            <w:right w:val="none" w:sz="0" w:space="0" w:color="auto"/>
          </w:divBdr>
        </w:div>
        <w:div w:id="157045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2015/297/de" TargetMode="External"/><Relationship Id="rId3" Type="http://schemas.openxmlformats.org/officeDocument/2006/relationships/settings" Target="settings.xml"/><Relationship Id="rId7" Type="http://schemas.openxmlformats.org/officeDocument/2006/relationships/hyperlink" Target="https://www.fedlex.admin.ch/eli/cc/2015/297/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10501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Wiegand</dc:creator>
  <cp:keywords/>
  <dc:description/>
  <cp:lastModifiedBy>Andrea Staubli</cp:lastModifiedBy>
  <cp:revision>2</cp:revision>
  <cp:lastPrinted>2024-02-08T17:40:00Z</cp:lastPrinted>
  <dcterms:created xsi:type="dcterms:W3CDTF">2024-02-09T10:50:00Z</dcterms:created>
  <dcterms:modified xsi:type="dcterms:W3CDTF">2024-02-09T10:50:00Z</dcterms:modified>
</cp:coreProperties>
</file>