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8477E" w:rsidRPr="00F9099C" w:rsidRDefault="0008477E">
      <w:pPr>
        <w:rPr>
          <w:sz w:val="21"/>
          <w:szCs w:val="21"/>
        </w:rPr>
      </w:pPr>
      <w:r w:rsidRPr="00F9099C">
        <w:rPr>
          <w:sz w:val="21"/>
          <w:szCs w:val="21"/>
        </w:rPr>
        <w:t>Absender</w:t>
      </w:r>
    </w:p>
    <w:p w:rsidR="0008477E" w:rsidRPr="00F9099C" w:rsidRDefault="0008477E">
      <w:pPr>
        <w:rPr>
          <w:sz w:val="21"/>
          <w:szCs w:val="21"/>
        </w:rPr>
      </w:pPr>
    </w:p>
    <w:p w:rsidR="008556FF" w:rsidRPr="00F9099C" w:rsidRDefault="008556FF">
      <w:pPr>
        <w:rPr>
          <w:sz w:val="21"/>
          <w:szCs w:val="21"/>
        </w:rPr>
      </w:pPr>
    </w:p>
    <w:p w:rsidR="0008477E" w:rsidRPr="00F9099C" w:rsidRDefault="0008477E">
      <w:pPr>
        <w:rPr>
          <w:sz w:val="21"/>
          <w:szCs w:val="21"/>
        </w:rPr>
      </w:pPr>
      <w:r w:rsidRPr="00F9099C">
        <w:rPr>
          <w:sz w:val="21"/>
          <w:szCs w:val="21"/>
        </w:rPr>
        <w:tab/>
      </w:r>
      <w:r w:rsidRPr="00F9099C">
        <w:rPr>
          <w:sz w:val="21"/>
          <w:szCs w:val="21"/>
        </w:rPr>
        <w:tab/>
      </w:r>
      <w:r w:rsidRPr="00F9099C">
        <w:rPr>
          <w:sz w:val="21"/>
          <w:szCs w:val="21"/>
        </w:rPr>
        <w:tab/>
      </w:r>
      <w:r w:rsidRPr="00F9099C">
        <w:rPr>
          <w:sz w:val="21"/>
          <w:szCs w:val="21"/>
        </w:rPr>
        <w:tab/>
      </w:r>
      <w:r w:rsidRPr="00F9099C">
        <w:rPr>
          <w:sz w:val="21"/>
          <w:szCs w:val="21"/>
        </w:rPr>
        <w:tab/>
      </w:r>
      <w:r w:rsidRPr="00F9099C">
        <w:rPr>
          <w:sz w:val="21"/>
          <w:szCs w:val="21"/>
        </w:rPr>
        <w:tab/>
      </w:r>
      <w:r w:rsidRPr="00F9099C">
        <w:rPr>
          <w:sz w:val="21"/>
          <w:szCs w:val="21"/>
        </w:rPr>
        <w:tab/>
        <w:t>A-Post Plus  oder  Einschreiben</w:t>
      </w:r>
    </w:p>
    <w:p w:rsidR="0008477E" w:rsidRPr="00F9099C" w:rsidRDefault="0008477E">
      <w:pPr>
        <w:rPr>
          <w:sz w:val="21"/>
          <w:szCs w:val="21"/>
        </w:rPr>
      </w:pPr>
      <w:r w:rsidRPr="00F9099C">
        <w:rPr>
          <w:sz w:val="21"/>
          <w:szCs w:val="21"/>
        </w:rPr>
        <w:tab/>
      </w:r>
      <w:r w:rsidRPr="00F9099C">
        <w:rPr>
          <w:sz w:val="21"/>
          <w:szCs w:val="21"/>
        </w:rPr>
        <w:tab/>
      </w:r>
      <w:r w:rsidRPr="00F9099C">
        <w:rPr>
          <w:sz w:val="21"/>
          <w:szCs w:val="21"/>
        </w:rPr>
        <w:tab/>
      </w:r>
      <w:r w:rsidRPr="00F9099C">
        <w:rPr>
          <w:sz w:val="21"/>
          <w:szCs w:val="21"/>
        </w:rPr>
        <w:tab/>
      </w:r>
      <w:r w:rsidRPr="00F9099C">
        <w:rPr>
          <w:sz w:val="21"/>
          <w:szCs w:val="21"/>
        </w:rPr>
        <w:tab/>
      </w:r>
      <w:r w:rsidRPr="00F9099C">
        <w:rPr>
          <w:sz w:val="21"/>
          <w:szCs w:val="21"/>
        </w:rPr>
        <w:tab/>
      </w:r>
      <w:r w:rsidRPr="00F9099C">
        <w:rPr>
          <w:sz w:val="21"/>
          <w:szCs w:val="21"/>
        </w:rPr>
        <w:tab/>
      </w:r>
      <w:r w:rsidR="007C7CF8" w:rsidRPr="00F9099C">
        <w:rPr>
          <w:sz w:val="21"/>
          <w:szCs w:val="21"/>
        </w:rPr>
        <w:t>Bundesamt für Gesundheit BAG</w:t>
      </w:r>
    </w:p>
    <w:p w:rsidR="0008477E" w:rsidRPr="00F9099C" w:rsidRDefault="0008477E">
      <w:pPr>
        <w:rPr>
          <w:sz w:val="21"/>
          <w:szCs w:val="21"/>
        </w:rPr>
      </w:pPr>
      <w:r w:rsidRPr="00F9099C">
        <w:rPr>
          <w:sz w:val="21"/>
          <w:szCs w:val="21"/>
        </w:rPr>
        <w:tab/>
      </w:r>
      <w:r w:rsidRPr="00F9099C">
        <w:rPr>
          <w:sz w:val="21"/>
          <w:szCs w:val="21"/>
        </w:rPr>
        <w:tab/>
      </w:r>
      <w:r w:rsidRPr="00F9099C">
        <w:rPr>
          <w:sz w:val="21"/>
          <w:szCs w:val="21"/>
        </w:rPr>
        <w:tab/>
      </w:r>
      <w:r w:rsidRPr="00F9099C">
        <w:rPr>
          <w:sz w:val="21"/>
          <w:szCs w:val="21"/>
        </w:rPr>
        <w:tab/>
      </w:r>
      <w:r w:rsidRPr="00F9099C">
        <w:rPr>
          <w:sz w:val="21"/>
          <w:szCs w:val="21"/>
        </w:rPr>
        <w:tab/>
      </w:r>
      <w:r w:rsidRPr="00F9099C">
        <w:rPr>
          <w:sz w:val="21"/>
          <w:szCs w:val="21"/>
        </w:rPr>
        <w:tab/>
      </w:r>
      <w:r w:rsidRPr="00F9099C">
        <w:rPr>
          <w:sz w:val="21"/>
          <w:szCs w:val="21"/>
        </w:rPr>
        <w:tab/>
      </w:r>
      <w:proofErr w:type="spellStart"/>
      <w:r w:rsidR="007C7CF8" w:rsidRPr="00F9099C">
        <w:rPr>
          <w:sz w:val="21"/>
          <w:szCs w:val="21"/>
        </w:rPr>
        <w:t>Schwarzenburgstrasse</w:t>
      </w:r>
      <w:proofErr w:type="spellEnd"/>
      <w:r w:rsidR="007C7CF8" w:rsidRPr="00F9099C">
        <w:rPr>
          <w:sz w:val="21"/>
          <w:szCs w:val="21"/>
        </w:rPr>
        <w:t xml:space="preserve"> 157</w:t>
      </w:r>
    </w:p>
    <w:p w:rsidR="0008477E" w:rsidRPr="00F9099C" w:rsidRDefault="0008477E">
      <w:pPr>
        <w:rPr>
          <w:sz w:val="21"/>
          <w:szCs w:val="21"/>
        </w:rPr>
      </w:pPr>
      <w:r w:rsidRPr="00F9099C">
        <w:rPr>
          <w:sz w:val="21"/>
          <w:szCs w:val="21"/>
        </w:rPr>
        <w:tab/>
      </w:r>
      <w:r w:rsidRPr="00F9099C">
        <w:rPr>
          <w:sz w:val="21"/>
          <w:szCs w:val="21"/>
        </w:rPr>
        <w:tab/>
      </w:r>
      <w:r w:rsidRPr="00F9099C">
        <w:rPr>
          <w:sz w:val="21"/>
          <w:szCs w:val="21"/>
        </w:rPr>
        <w:tab/>
      </w:r>
      <w:r w:rsidRPr="00F9099C">
        <w:rPr>
          <w:sz w:val="21"/>
          <w:szCs w:val="21"/>
        </w:rPr>
        <w:tab/>
      </w:r>
      <w:r w:rsidRPr="00F9099C">
        <w:rPr>
          <w:sz w:val="21"/>
          <w:szCs w:val="21"/>
        </w:rPr>
        <w:tab/>
      </w:r>
      <w:r w:rsidRPr="00F9099C">
        <w:rPr>
          <w:sz w:val="21"/>
          <w:szCs w:val="21"/>
        </w:rPr>
        <w:tab/>
      </w:r>
      <w:r w:rsidRPr="00F9099C">
        <w:rPr>
          <w:sz w:val="21"/>
          <w:szCs w:val="21"/>
        </w:rPr>
        <w:tab/>
        <w:t>3003 Bern</w:t>
      </w:r>
    </w:p>
    <w:p w:rsidR="0008477E" w:rsidRPr="00F9099C" w:rsidRDefault="0008477E">
      <w:pPr>
        <w:rPr>
          <w:sz w:val="21"/>
          <w:szCs w:val="21"/>
        </w:rPr>
      </w:pPr>
    </w:p>
    <w:p w:rsidR="0008477E" w:rsidRPr="00F9099C" w:rsidRDefault="0008477E">
      <w:pPr>
        <w:rPr>
          <w:sz w:val="21"/>
          <w:szCs w:val="21"/>
        </w:rPr>
      </w:pPr>
      <w:r w:rsidRPr="00F9099C">
        <w:rPr>
          <w:sz w:val="21"/>
          <w:szCs w:val="21"/>
        </w:rPr>
        <w:tab/>
      </w:r>
      <w:r w:rsidRPr="00F9099C">
        <w:rPr>
          <w:sz w:val="21"/>
          <w:szCs w:val="21"/>
        </w:rPr>
        <w:tab/>
      </w:r>
      <w:r w:rsidRPr="00F9099C">
        <w:rPr>
          <w:sz w:val="21"/>
          <w:szCs w:val="21"/>
        </w:rPr>
        <w:tab/>
      </w:r>
      <w:r w:rsidRPr="00F9099C">
        <w:rPr>
          <w:sz w:val="21"/>
          <w:szCs w:val="21"/>
        </w:rPr>
        <w:tab/>
      </w:r>
      <w:r w:rsidRPr="00F9099C">
        <w:rPr>
          <w:sz w:val="21"/>
          <w:szCs w:val="21"/>
        </w:rPr>
        <w:tab/>
      </w:r>
      <w:r w:rsidRPr="00F9099C">
        <w:rPr>
          <w:sz w:val="21"/>
          <w:szCs w:val="21"/>
        </w:rPr>
        <w:tab/>
      </w:r>
      <w:r w:rsidRPr="00F9099C">
        <w:rPr>
          <w:sz w:val="21"/>
          <w:szCs w:val="21"/>
        </w:rPr>
        <w:tab/>
        <w:t>und/oder</w:t>
      </w:r>
    </w:p>
    <w:p w:rsidR="0008477E" w:rsidRPr="00F9099C" w:rsidRDefault="0008477E">
      <w:pPr>
        <w:rPr>
          <w:sz w:val="21"/>
          <w:szCs w:val="21"/>
          <w:lang w:val="en-US"/>
        </w:rPr>
      </w:pPr>
      <w:r w:rsidRPr="00F9099C">
        <w:rPr>
          <w:sz w:val="21"/>
          <w:szCs w:val="21"/>
        </w:rPr>
        <w:tab/>
      </w:r>
      <w:r w:rsidRPr="00F9099C">
        <w:rPr>
          <w:sz w:val="21"/>
          <w:szCs w:val="21"/>
        </w:rPr>
        <w:tab/>
      </w:r>
      <w:r w:rsidRPr="00F9099C">
        <w:rPr>
          <w:sz w:val="21"/>
          <w:szCs w:val="21"/>
        </w:rPr>
        <w:tab/>
      </w:r>
      <w:r w:rsidRPr="00F9099C">
        <w:rPr>
          <w:sz w:val="21"/>
          <w:szCs w:val="21"/>
        </w:rPr>
        <w:tab/>
      </w:r>
      <w:r w:rsidRPr="00F9099C">
        <w:rPr>
          <w:sz w:val="21"/>
          <w:szCs w:val="21"/>
        </w:rPr>
        <w:tab/>
      </w:r>
      <w:r w:rsidRPr="00F9099C">
        <w:rPr>
          <w:sz w:val="21"/>
          <w:szCs w:val="21"/>
        </w:rPr>
        <w:tab/>
      </w:r>
      <w:r w:rsidRPr="00F9099C">
        <w:rPr>
          <w:sz w:val="21"/>
          <w:szCs w:val="21"/>
        </w:rPr>
        <w:tab/>
      </w:r>
      <w:r w:rsidRPr="00F9099C">
        <w:rPr>
          <w:sz w:val="21"/>
          <w:szCs w:val="21"/>
          <w:lang w:val="en-US"/>
        </w:rPr>
        <w:t xml:space="preserve">Per E-Mail </w:t>
      </w:r>
      <w:proofErr w:type="spellStart"/>
      <w:r w:rsidRPr="00F9099C">
        <w:rPr>
          <w:sz w:val="21"/>
          <w:szCs w:val="21"/>
          <w:lang w:val="en-US"/>
        </w:rPr>
        <w:t>an</w:t>
      </w:r>
      <w:proofErr w:type="spellEnd"/>
      <w:r w:rsidRPr="00F9099C">
        <w:rPr>
          <w:sz w:val="21"/>
          <w:szCs w:val="21"/>
          <w:lang w:val="en-US"/>
        </w:rPr>
        <w:t>:</w:t>
      </w:r>
    </w:p>
    <w:p w:rsidR="0004659A" w:rsidRPr="00F9099C" w:rsidRDefault="0004659A">
      <w:pPr>
        <w:rPr>
          <w:sz w:val="21"/>
          <w:szCs w:val="21"/>
          <w:lang w:val="en-US"/>
        </w:rPr>
      </w:pPr>
      <w:r w:rsidRPr="00F9099C">
        <w:rPr>
          <w:sz w:val="21"/>
          <w:szCs w:val="21"/>
          <w:lang w:val="en-US"/>
        </w:rPr>
        <w:tab/>
      </w:r>
      <w:r w:rsidRPr="00F9099C">
        <w:rPr>
          <w:sz w:val="21"/>
          <w:szCs w:val="21"/>
          <w:lang w:val="en-US"/>
        </w:rPr>
        <w:tab/>
      </w:r>
      <w:r w:rsidRPr="00F9099C">
        <w:rPr>
          <w:sz w:val="21"/>
          <w:szCs w:val="21"/>
          <w:lang w:val="en-US"/>
        </w:rPr>
        <w:tab/>
      </w:r>
      <w:r w:rsidRPr="00F9099C">
        <w:rPr>
          <w:sz w:val="21"/>
          <w:szCs w:val="21"/>
          <w:lang w:val="en-US"/>
        </w:rPr>
        <w:tab/>
      </w:r>
      <w:r w:rsidRPr="00F9099C">
        <w:rPr>
          <w:sz w:val="21"/>
          <w:szCs w:val="21"/>
          <w:lang w:val="en-US"/>
        </w:rPr>
        <w:tab/>
      </w:r>
      <w:r w:rsidRPr="00F9099C">
        <w:rPr>
          <w:sz w:val="21"/>
          <w:szCs w:val="21"/>
          <w:lang w:val="en-US"/>
        </w:rPr>
        <w:tab/>
      </w:r>
      <w:r w:rsidRPr="00F9099C">
        <w:rPr>
          <w:sz w:val="21"/>
          <w:szCs w:val="21"/>
          <w:lang w:val="en-US"/>
        </w:rPr>
        <w:tab/>
      </w:r>
      <w:hyperlink r:id="rId7" w:history="1">
        <w:r w:rsidRPr="00F9099C">
          <w:rPr>
            <w:rStyle w:val="Hyperlink"/>
            <w:sz w:val="21"/>
            <w:szCs w:val="21"/>
            <w:lang w:val="en-US"/>
          </w:rPr>
          <w:t>vernehmlassungIGV@bag.admin.ch</w:t>
        </w:r>
      </w:hyperlink>
    </w:p>
    <w:p w:rsidR="007C7CF8" w:rsidRPr="00F9099C" w:rsidRDefault="007C7CF8">
      <w:pPr>
        <w:rPr>
          <w:sz w:val="21"/>
          <w:szCs w:val="21"/>
          <w:lang w:val="en-US"/>
        </w:rPr>
      </w:pPr>
    </w:p>
    <w:p w:rsidR="008556FF" w:rsidRPr="00F9099C" w:rsidRDefault="008556FF">
      <w:pPr>
        <w:rPr>
          <w:sz w:val="21"/>
          <w:szCs w:val="21"/>
          <w:lang w:val="en-US"/>
        </w:rPr>
      </w:pPr>
    </w:p>
    <w:p w:rsidR="0008477E" w:rsidRPr="00F9099C" w:rsidRDefault="0008477E">
      <w:pPr>
        <w:rPr>
          <w:sz w:val="21"/>
          <w:szCs w:val="21"/>
        </w:rPr>
      </w:pPr>
      <w:r w:rsidRPr="00F9099C">
        <w:rPr>
          <w:sz w:val="21"/>
          <w:szCs w:val="21"/>
        </w:rPr>
        <w:t>Datum</w:t>
      </w:r>
    </w:p>
    <w:p w:rsidR="0008477E" w:rsidRPr="00F9099C" w:rsidRDefault="0008477E">
      <w:pPr>
        <w:rPr>
          <w:sz w:val="21"/>
          <w:szCs w:val="21"/>
        </w:rPr>
      </w:pPr>
    </w:p>
    <w:p w:rsidR="008556FF" w:rsidRPr="00F9099C" w:rsidRDefault="008556FF">
      <w:pPr>
        <w:rPr>
          <w:sz w:val="21"/>
          <w:szCs w:val="21"/>
        </w:rPr>
      </w:pPr>
    </w:p>
    <w:p w:rsidR="00E66FDA" w:rsidRPr="00F9099C" w:rsidRDefault="0016740B" w:rsidP="00E66FDA">
      <w:pPr>
        <w:rPr>
          <w:b/>
          <w:bCs/>
          <w:sz w:val="21"/>
          <w:szCs w:val="21"/>
        </w:rPr>
      </w:pPr>
      <w:r w:rsidRPr="00F9099C">
        <w:rPr>
          <w:b/>
          <w:bCs/>
          <w:sz w:val="21"/>
          <w:szCs w:val="21"/>
        </w:rPr>
        <w:t>Ablehnung</w:t>
      </w:r>
      <w:r w:rsidR="00E66FDA" w:rsidRPr="00F9099C">
        <w:rPr>
          <w:b/>
          <w:bCs/>
          <w:sz w:val="21"/>
          <w:szCs w:val="21"/>
        </w:rPr>
        <w:t xml:space="preserve"> der</w:t>
      </w:r>
      <w:r w:rsidRPr="00F9099C">
        <w:rPr>
          <w:b/>
          <w:bCs/>
          <w:sz w:val="21"/>
          <w:szCs w:val="21"/>
        </w:rPr>
        <w:t xml:space="preserve"> neuen</w:t>
      </w:r>
      <w:r w:rsidR="00E66FDA" w:rsidRPr="00F9099C">
        <w:rPr>
          <w:b/>
          <w:bCs/>
          <w:sz w:val="21"/>
          <w:szCs w:val="21"/>
        </w:rPr>
        <w:t xml:space="preserve"> Internationalen Gesundheitsvorschriften (IGV); </w:t>
      </w:r>
      <w:proofErr w:type="spellStart"/>
      <w:r w:rsidR="00E66FDA" w:rsidRPr="00F9099C">
        <w:rPr>
          <w:b/>
          <w:bCs/>
          <w:sz w:val="21"/>
          <w:szCs w:val="21"/>
        </w:rPr>
        <w:t>Vernehmlassungsantwort</w:t>
      </w:r>
      <w:proofErr w:type="spellEnd"/>
    </w:p>
    <w:p w:rsidR="008F73A1" w:rsidRPr="00F9099C" w:rsidRDefault="008F73A1" w:rsidP="008F73A1">
      <w:pPr>
        <w:rPr>
          <w:sz w:val="21"/>
          <w:szCs w:val="21"/>
        </w:rPr>
      </w:pPr>
    </w:p>
    <w:p w:rsidR="008F73A1" w:rsidRPr="00F9099C" w:rsidRDefault="008F73A1" w:rsidP="008F73A1">
      <w:pPr>
        <w:rPr>
          <w:sz w:val="21"/>
          <w:szCs w:val="21"/>
        </w:rPr>
      </w:pPr>
      <w:r w:rsidRPr="00F9099C">
        <w:rPr>
          <w:sz w:val="21"/>
          <w:szCs w:val="21"/>
        </w:rPr>
        <w:t>Sehr geehrte Damen und Herren</w:t>
      </w:r>
    </w:p>
    <w:p w:rsidR="008F73A1" w:rsidRPr="00F9099C" w:rsidRDefault="008F73A1" w:rsidP="008F73A1">
      <w:pPr>
        <w:rPr>
          <w:sz w:val="21"/>
          <w:szCs w:val="21"/>
        </w:rPr>
      </w:pPr>
    </w:p>
    <w:p w:rsidR="008F73A1" w:rsidRPr="00F9099C" w:rsidRDefault="008F73A1" w:rsidP="008F73A1">
      <w:pPr>
        <w:rPr>
          <w:sz w:val="21"/>
          <w:szCs w:val="21"/>
        </w:rPr>
      </w:pPr>
      <w:r w:rsidRPr="00F9099C">
        <w:rPr>
          <w:sz w:val="21"/>
          <w:szCs w:val="21"/>
        </w:rPr>
        <w:t xml:space="preserve">Der Bundesrat hat am 13. November 2024 beschlossen, zu den Änderungen der IGV ein Vernehmlassungsverfahren durchzuführen. </w:t>
      </w:r>
      <w:r w:rsidR="001C5D84">
        <w:rPr>
          <w:sz w:val="21"/>
          <w:szCs w:val="21"/>
        </w:rPr>
        <w:t>Da ich von einer solchen Änderung direkt betroffen wäre, äussere ich mich gerne im Rahmen dieses Verfahrens.</w:t>
      </w:r>
    </w:p>
    <w:p w:rsidR="0004659A" w:rsidRDefault="0004659A">
      <w:pPr>
        <w:rPr>
          <w:sz w:val="21"/>
          <w:szCs w:val="21"/>
        </w:rPr>
      </w:pPr>
    </w:p>
    <w:p w:rsidR="001C5D84" w:rsidRDefault="001C5D84" w:rsidP="001C5D84">
      <w:pPr>
        <w:rPr>
          <w:b/>
          <w:bCs/>
          <w:sz w:val="21"/>
          <w:szCs w:val="21"/>
        </w:rPr>
      </w:pPr>
      <w:r w:rsidRPr="001C5D84">
        <w:rPr>
          <w:b/>
          <w:bCs/>
          <w:sz w:val="21"/>
          <w:szCs w:val="21"/>
        </w:rPr>
        <w:t>Die Schweiz kam statistisch nachweisbar besser durch die Pandemie als viele andere Staaten. Wir hatten weniger Covid-Todesfälle, bei uns waren Medikamente zugelassen, die die WHO lieber verboten gesehen hätte, und der Schweizer Bundesrat beendete die Notstandssituation, als andere Staaten noch über die Einführung der Impfpflicht diskutierten.</w:t>
      </w:r>
    </w:p>
    <w:p w:rsidR="001C5D84" w:rsidRPr="001C5D84" w:rsidRDefault="001C5D84" w:rsidP="001C5D84">
      <w:pPr>
        <w:rPr>
          <w:b/>
          <w:bCs/>
          <w:sz w:val="21"/>
          <w:szCs w:val="21"/>
        </w:rPr>
      </w:pPr>
    </w:p>
    <w:p w:rsidR="001C5D84" w:rsidRPr="001C5D84" w:rsidRDefault="001C5D84" w:rsidP="001C5D84">
      <w:pPr>
        <w:rPr>
          <w:sz w:val="21"/>
          <w:szCs w:val="21"/>
        </w:rPr>
      </w:pPr>
      <w:r w:rsidRPr="001C5D84">
        <w:rPr>
          <w:sz w:val="21"/>
          <w:szCs w:val="21"/>
        </w:rPr>
        <w:t xml:space="preserve">In jedem einzelnen der genannten Punkte folgte die Schweiz </w:t>
      </w:r>
      <w:r w:rsidRPr="001C5D84">
        <w:rPr>
          <w:i/>
          <w:iCs/>
          <w:sz w:val="21"/>
          <w:szCs w:val="21"/>
        </w:rPr>
        <w:t>gerade nicht</w:t>
      </w:r>
      <w:r w:rsidRPr="001C5D84">
        <w:rPr>
          <w:sz w:val="21"/>
          <w:szCs w:val="21"/>
        </w:rPr>
        <w:t xml:space="preserve"> der WHO. Es war sogar nachweisbar, dass die Schweiz mit der vorübergehenden Einschränkung von Hydroxychloroqui</w:t>
      </w:r>
      <w:r>
        <w:rPr>
          <w:sz w:val="21"/>
          <w:szCs w:val="21"/>
        </w:rPr>
        <w:t>n</w:t>
      </w:r>
      <w:r w:rsidRPr="001C5D84">
        <w:rPr>
          <w:sz w:val="21"/>
          <w:szCs w:val="21"/>
          <w:vertAlign w:val="superscript"/>
        </w:rPr>
        <w:footnoteReference w:id="1"/>
      </w:r>
      <w:r w:rsidRPr="001C5D84">
        <w:rPr>
          <w:sz w:val="21"/>
          <w:szCs w:val="21"/>
        </w:rPr>
        <w:t xml:space="preserve"> die Cov</w:t>
      </w:r>
      <w:r>
        <w:rPr>
          <w:sz w:val="21"/>
          <w:szCs w:val="21"/>
        </w:rPr>
        <w:t>i</w:t>
      </w:r>
      <w:r w:rsidRPr="001C5D84">
        <w:rPr>
          <w:sz w:val="21"/>
          <w:szCs w:val="21"/>
        </w:rPr>
        <w:t>d-19-Sterblichkeit im Land verdoppelte (Daten des BAG!), und mit der Aufhebung</w:t>
      </w:r>
      <w:r w:rsidRPr="001C5D84">
        <w:rPr>
          <w:sz w:val="21"/>
          <w:szCs w:val="21"/>
          <w:vertAlign w:val="superscript"/>
        </w:rPr>
        <w:footnoteReference w:id="2"/>
      </w:r>
      <w:r w:rsidRPr="001C5D84">
        <w:rPr>
          <w:sz w:val="21"/>
          <w:szCs w:val="21"/>
        </w:rPr>
        <w:t xml:space="preserve"> der Einschränkung die Todesfallzahle</w:t>
      </w:r>
      <w:r>
        <w:rPr>
          <w:sz w:val="21"/>
          <w:szCs w:val="21"/>
        </w:rPr>
        <w:t>n</w:t>
      </w:r>
      <w:r w:rsidRPr="001C5D84">
        <w:rPr>
          <w:sz w:val="21"/>
          <w:szCs w:val="21"/>
        </w:rPr>
        <w:t xml:space="preserve"> sich rasch wieder erholten.</w:t>
      </w:r>
      <w:r w:rsidRPr="001C5D84">
        <w:rPr>
          <w:sz w:val="21"/>
          <w:szCs w:val="21"/>
          <w:vertAlign w:val="superscript"/>
        </w:rPr>
        <w:footnoteReference w:id="3"/>
      </w:r>
      <w:r w:rsidRPr="001C5D84">
        <w:rPr>
          <w:sz w:val="21"/>
          <w:szCs w:val="21"/>
        </w:rPr>
        <w:t xml:space="preserve"> Diese Wiederzulassung stellt einen «Alleingang» der Schweiz dar, und geschah entgegen der anderslautenden Empfehlung der WHO. Hätte es keine breitere Diskussion der alternativen Heilmittel gegeben, wäre das Wissen darüber nicht in die Schweiz gekommen. Die Kritik, gerade an den WHO-Studien zu den Heilmitteln, ist massiv und kommt u.a. von der US-Ärztekammer, also von Fachleuten.</w:t>
      </w:r>
      <w:r w:rsidRPr="001C5D84">
        <w:rPr>
          <w:sz w:val="21"/>
          <w:szCs w:val="21"/>
          <w:vertAlign w:val="superscript"/>
        </w:rPr>
        <w:footnoteReference w:id="4"/>
      </w:r>
      <w:r w:rsidRPr="001C5D84">
        <w:rPr>
          <w:sz w:val="21"/>
          <w:szCs w:val="21"/>
        </w:rPr>
        <w:t xml:space="preserve"> </w:t>
      </w:r>
    </w:p>
    <w:p w:rsidR="001C5D84" w:rsidRDefault="001C5D84" w:rsidP="001C5D84">
      <w:pPr>
        <w:rPr>
          <w:sz w:val="21"/>
          <w:szCs w:val="21"/>
        </w:rPr>
      </w:pPr>
      <w:r w:rsidRPr="001C5D84">
        <w:rPr>
          <w:sz w:val="21"/>
          <w:szCs w:val="21"/>
        </w:rPr>
        <w:lastRenderedPageBreak/>
        <w:t>Mit de</w:t>
      </w:r>
      <w:r>
        <w:rPr>
          <w:sz w:val="21"/>
          <w:szCs w:val="21"/>
        </w:rPr>
        <w:t>n</w:t>
      </w:r>
      <w:r w:rsidRPr="001C5D84">
        <w:rPr>
          <w:sz w:val="21"/>
          <w:szCs w:val="21"/>
        </w:rPr>
        <w:t xml:space="preserve"> in den IGV vorgesehenen Zensur-Massnahmen verhindert die WHO in Zukunft die Möglichkeit, sie zu kritisieren und zu ihren Behandlungsvorschlägen unabhängige Zweitmeinungen einzuholen. Es gibt keinen Grund, diesen möglicherweise überlebensnotwendigen Informationszugriff (es handelt sich eben gerade nicht um Fake-News) von Amt</w:t>
      </w:r>
      <w:r>
        <w:rPr>
          <w:sz w:val="21"/>
          <w:szCs w:val="21"/>
        </w:rPr>
        <w:t>e</w:t>
      </w:r>
      <w:r w:rsidRPr="001C5D84">
        <w:rPr>
          <w:sz w:val="21"/>
          <w:szCs w:val="21"/>
        </w:rPr>
        <w:t>s wegen einzuschränken und die Zusammenarbeit mit einer Behörde, der WHO, zu intensivieren, die sich dieser kritischen Diskussion gar nicht stellt.</w:t>
      </w:r>
    </w:p>
    <w:p w:rsidR="001C5D84" w:rsidRPr="001C5D84" w:rsidRDefault="001C5D84" w:rsidP="001C5D84">
      <w:pPr>
        <w:rPr>
          <w:sz w:val="21"/>
          <w:szCs w:val="21"/>
        </w:rPr>
      </w:pPr>
    </w:p>
    <w:p w:rsidR="001C5D84" w:rsidRDefault="001C5D84" w:rsidP="001C5D84">
      <w:pPr>
        <w:rPr>
          <w:sz w:val="21"/>
          <w:szCs w:val="21"/>
        </w:rPr>
      </w:pPr>
      <w:r w:rsidRPr="001C5D84">
        <w:rPr>
          <w:sz w:val="21"/>
          <w:szCs w:val="21"/>
        </w:rPr>
        <w:t>Oft sind dezentrale Entscheide in einer Pandemie der zentralen Entscheidungsfindung vorzuziehen. Auch hier geht die Schweiz als gutes Beispiel voran. Es war das Amt für Katastrophenschutz im Kanton G</w:t>
      </w:r>
      <w:r>
        <w:rPr>
          <w:sz w:val="21"/>
          <w:szCs w:val="21"/>
        </w:rPr>
        <w:t>raubünden</w:t>
      </w:r>
      <w:r w:rsidRPr="001C5D84">
        <w:rPr>
          <w:sz w:val="21"/>
          <w:szCs w:val="21"/>
        </w:rPr>
        <w:t>, das als einzige Behörde eine seriöse, umfassende Covid-Daten-Analyse vornahm und mit diesem Befund dem Bundesrat im Februar 2021 die Grundlage für seinen Ausstiegsentscheid lieferte.</w:t>
      </w:r>
      <w:r w:rsidRPr="001C5D84">
        <w:rPr>
          <w:sz w:val="21"/>
          <w:szCs w:val="21"/>
          <w:vertAlign w:val="superscript"/>
        </w:rPr>
        <w:footnoteReference w:id="5"/>
      </w:r>
      <w:r w:rsidRPr="001C5D84">
        <w:rPr>
          <w:sz w:val="21"/>
          <w:szCs w:val="21"/>
        </w:rPr>
        <w:t xml:space="preserve"> Der Bundesrat bestätigte mit seinem Entscheid die Qualität dieser Studie</w:t>
      </w:r>
      <w:r>
        <w:rPr>
          <w:sz w:val="21"/>
          <w:szCs w:val="21"/>
        </w:rPr>
        <w:t>. D</w:t>
      </w:r>
      <w:r w:rsidRPr="001C5D84">
        <w:rPr>
          <w:sz w:val="21"/>
          <w:szCs w:val="21"/>
        </w:rPr>
        <w:t>ie zukünftige Entwicklung, die nicht zu Spitalengpässen geführt hat (wie es die Task Force prognostiziert hatte), gab dem Bundesrat und dieser Studie ebenfalls Recht.</w:t>
      </w:r>
    </w:p>
    <w:p w:rsidR="001C5D84" w:rsidRPr="001C5D84" w:rsidRDefault="001C5D84" w:rsidP="001C5D84">
      <w:pPr>
        <w:rPr>
          <w:sz w:val="21"/>
          <w:szCs w:val="21"/>
        </w:rPr>
      </w:pPr>
    </w:p>
    <w:p w:rsidR="001C5D84" w:rsidRDefault="001C5D84" w:rsidP="001C5D84">
      <w:pPr>
        <w:rPr>
          <w:sz w:val="21"/>
          <w:szCs w:val="21"/>
        </w:rPr>
      </w:pPr>
      <w:r w:rsidRPr="001C5D84">
        <w:rPr>
          <w:sz w:val="21"/>
          <w:szCs w:val="21"/>
        </w:rPr>
        <w:t xml:space="preserve">Auch die mRNA-Impfempfehlung vor allem für Schwangere widersprach von Anfang an der Literatur, wo z.B. </w:t>
      </w:r>
      <w:proofErr w:type="spellStart"/>
      <w:r w:rsidRPr="001C5D84">
        <w:rPr>
          <w:sz w:val="21"/>
          <w:szCs w:val="21"/>
        </w:rPr>
        <w:t>Shimabukuro</w:t>
      </w:r>
      <w:proofErr w:type="spellEnd"/>
      <w:r w:rsidRPr="001C5D84">
        <w:rPr>
          <w:sz w:val="21"/>
          <w:szCs w:val="21"/>
        </w:rPr>
        <w:t xml:space="preserve"> bereits im April 2021 darauf hinwies, dass die häufigste spezifische Nebenwirkung der mRNA-Impfung Schwangerer der Spontanabort sei. Und dass impfbedingte Spontanaborte 80% der totalen Anzahl Aborte ausmachten.</w:t>
      </w:r>
      <w:r w:rsidRPr="001C5D84">
        <w:rPr>
          <w:sz w:val="21"/>
          <w:szCs w:val="21"/>
          <w:vertAlign w:val="superscript"/>
        </w:rPr>
        <w:footnoteReference w:id="6"/>
      </w:r>
      <w:r w:rsidRPr="001C5D84">
        <w:rPr>
          <w:sz w:val="21"/>
          <w:szCs w:val="21"/>
        </w:rPr>
        <w:t xml:space="preserve"> Auch sonst hatte der Druck auf die Wissenschaft zur Folge, dass kritische bis sehr kritische Studien zu den Impfnebenwirkungen erst ab Ende 2022 den Weg in die Fach-Zeitschriften fanden.</w:t>
      </w:r>
      <w:r w:rsidRPr="001C5D84">
        <w:rPr>
          <w:sz w:val="21"/>
          <w:szCs w:val="21"/>
          <w:vertAlign w:val="superscript"/>
        </w:rPr>
        <w:footnoteReference w:id="7"/>
      </w:r>
      <w:r w:rsidRPr="001C5D84">
        <w:rPr>
          <w:sz w:val="21"/>
          <w:szCs w:val="21"/>
        </w:rPr>
        <w:t xml:space="preserve"> </w:t>
      </w:r>
    </w:p>
    <w:p w:rsidR="001C5D84" w:rsidRPr="001C5D84" w:rsidRDefault="001C5D84" w:rsidP="001C5D84">
      <w:pPr>
        <w:rPr>
          <w:sz w:val="21"/>
          <w:szCs w:val="21"/>
        </w:rPr>
      </w:pPr>
    </w:p>
    <w:p w:rsidR="001C5D84" w:rsidRDefault="001C5D84" w:rsidP="001C5D84">
      <w:pPr>
        <w:rPr>
          <w:sz w:val="21"/>
          <w:szCs w:val="21"/>
        </w:rPr>
      </w:pPr>
      <w:r w:rsidRPr="001C5D84">
        <w:rPr>
          <w:sz w:val="21"/>
          <w:szCs w:val="21"/>
        </w:rPr>
        <w:t xml:space="preserve">Kurz: Die Schweiz hat die Pandemie besser bewältigt, als der Durchschnitt der OECD-Staaten. Staaten die der WHO eng gefolgt sind, z.B. die USA, weisen heute eine katastrophal hohe Anzahl Covid-Todesfälle aus (auch wenn das natürlich auch noch andere Gründe haben dürfte). Es gibt also keinen Grund, der WHO weitergehende Kompetenzen, welcher Art auch immer, einzuräumen, um der Schweiz Vorschriften in Bezug auf ihre Epidemiepolitik zu machen. </w:t>
      </w:r>
    </w:p>
    <w:p w:rsidR="001C5D84" w:rsidRPr="001C5D84" w:rsidRDefault="001C5D84" w:rsidP="001C5D84">
      <w:pPr>
        <w:rPr>
          <w:sz w:val="21"/>
          <w:szCs w:val="21"/>
        </w:rPr>
      </w:pPr>
    </w:p>
    <w:p w:rsidR="00624D18" w:rsidRDefault="001C5D84" w:rsidP="001C5D84">
      <w:pPr>
        <w:rPr>
          <w:sz w:val="21"/>
          <w:szCs w:val="21"/>
        </w:rPr>
      </w:pPr>
      <w:r w:rsidRPr="001C5D84">
        <w:rPr>
          <w:sz w:val="21"/>
          <w:szCs w:val="21"/>
        </w:rPr>
        <w:t>Solange die WHO unverbindliche Empfehlungen (</w:t>
      </w:r>
      <w:r w:rsidRPr="001C5D84">
        <w:rPr>
          <w:sz w:val="21"/>
          <w:szCs w:val="21"/>
          <w:lang w:val="en-US"/>
        </w:rPr>
        <w:t>non-binding recommendations)</w:t>
      </w:r>
      <w:r w:rsidRPr="001C5D84">
        <w:rPr>
          <w:sz w:val="21"/>
          <w:szCs w:val="21"/>
        </w:rPr>
        <w:t xml:space="preserve"> abgibt, genügt das für die Schweiz vollkommen. Um zusätzliche Kompetenzen an die WHO abtreten zu können, ist die Schadensbilanz der WHO in den Corona-Jahren zu gross.</w:t>
      </w:r>
    </w:p>
    <w:p w:rsidR="001C5D84" w:rsidRPr="00F9099C" w:rsidRDefault="001C5D84" w:rsidP="00220754">
      <w:pPr>
        <w:rPr>
          <w:sz w:val="21"/>
          <w:szCs w:val="21"/>
          <w:lang w:val="de-DE"/>
        </w:rPr>
      </w:pPr>
    </w:p>
    <w:p w:rsidR="00E84F26" w:rsidRDefault="001C5D84" w:rsidP="00220754">
      <w:pPr>
        <w:rPr>
          <w:sz w:val="21"/>
          <w:szCs w:val="21"/>
          <w:lang w:val="de-DE"/>
        </w:rPr>
      </w:pPr>
      <w:r>
        <w:rPr>
          <w:sz w:val="21"/>
          <w:szCs w:val="21"/>
          <w:lang w:val="de-DE"/>
        </w:rPr>
        <w:t>Es ist deshalb essentiell, dass d</w:t>
      </w:r>
      <w:r w:rsidR="00E84F26" w:rsidRPr="00F9099C">
        <w:rPr>
          <w:sz w:val="21"/>
          <w:szCs w:val="21"/>
          <w:lang w:val="de-DE"/>
        </w:rPr>
        <w:t>er Bundesrat fristgerecht gegenüber der WHO von seinem Widerspruchsrecht Gebrauch mach</w:t>
      </w:r>
      <w:r>
        <w:rPr>
          <w:sz w:val="21"/>
          <w:szCs w:val="21"/>
          <w:lang w:val="de-DE"/>
        </w:rPr>
        <w:t>t</w:t>
      </w:r>
      <w:r w:rsidR="00E84F26" w:rsidRPr="00F9099C">
        <w:rPr>
          <w:sz w:val="21"/>
          <w:szCs w:val="21"/>
          <w:lang w:val="de-DE"/>
        </w:rPr>
        <w:t xml:space="preserve"> und die Änderungen ab</w:t>
      </w:r>
      <w:r>
        <w:rPr>
          <w:sz w:val="21"/>
          <w:szCs w:val="21"/>
          <w:lang w:val="de-DE"/>
        </w:rPr>
        <w:t>lehnt</w:t>
      </w:r>
      <w:r w:rsidR="00E84F26" w:rsidRPr="00F9099C">
        <w:rPr>
          <w:sz w:val="21"/>
          <w:szCs w:val="21"/>
          <w:lang w:val="de-DE"/>
        </w:rPr>
        <w:t xml:space="preserve">. Er hat zwingend das </w:t>
      </w:r>
      <w:proofErr w:type="spellStart"/>
      <w:r w:rsidR="00E84F26" w:rsidRPr="00F9099C">
        <w:rPr>
          <w:sz w:val="21"/>
          <w:szCs w:val="21"/>
          <w:lang w:val="de-DE"/>
        </w:rPr>
        <w:t>Opting</w:t>
      </w:r>
      <w:proofErr w:type="spellEnd"/>
      <w:r w:rsidR="00E84F26" w:rsidRPr="00F9099C">
        <w:rPr>
          <w:sz w:val="21"/>
          <w:szCs w:val="21"/>
          <w:lang w:val="de-DE"/>
        </w:rPr>
        <w:t xml:space="preserve">-out zu erklären. Nur mit einem </w:t>
      </w:r>
      <w:proofErr w:type="spellStart"/>
      <w:r w:rsidR="00E84F26" w:rsidRPr="00F9099C">
        <w:rPr>
          <w:sz w:val="21"/>
          <w:szCs w:val="21"/>
          <w:lang w:val="de-DE"/>
        </w:rPr>
        <w:t>Opting</w:t>
      </w:r>
      <w:proofErr w:type="spellEnd"/>
      <w:r w:rsidR="00E84F26" w:rsidRPr="00F9099C">
        <w:rPr>
          <w:sz w:val="21"/>
          <w:szCs w:val="21"/>
          <w:lang w:val="de-DE"/>
        </w:rPr>
        <w:t>-out ist gewährleistet, dass in National- und Ständerat eine Debatte über die IGV geführt werden kann. Und nur so ist gewährleistet, dass bei einer Annahme der IGV im Parlament ein Referendum ergriffen werden kann.</w:t>
      </w:r>
    </w:p>
    <w:p w:rsidR="00E84F26" w:rsidRPr="00F9099C" w:rsidRDefault="00E84F26" w:rsidP="00220754">
      <w:pPr>
        <w:rPr>
          <w:b/>
          <w:bCs/>
          <w:sz w:val="21"/>
          <w:szCs w:val="21"/>
          <w:lang w:val="de-DE"/>
        </w:rPr>
      </w:pPr>
      <w:r w:rsidRPr="00F9099C">
        <w:rPr>
          <w:b/>
          <w:bCs/>
          <w:sz w:val="21"/>
          <w:szCs w:val="21"/>
          <w:lang w:val="de-DE"/>
        </w:rPr>
        <w:lastRenderedPageBreak/>
        <w:t xml:space="preserve">Würde der Bundesrat das </w:t>
      </w:r>
      <w:proofErr w:type="spellStart"/>
      <w:r w:rsidRPr="00F9099C">
        <w:rPr>
          <w:b/>
          <w:bCs/>
          <w:sz w:val="21"/>
          <w:szCs w:val="21"/>
          <w:lang w:val="de-DE"/>
        </w:rPr>
        <w:t>Opting</w:t>
      </w:r>
      <w:proofErr w:type="spellEnd"/>
      <w:r w:rsidRPr="00F9099C">
        <w:rPr>
          <w:b/>
          <w:bCs/>
          <w:sz w:val="21"/>
          <w:szCs w:val="21"/>
          <w:lang w:val="de-DE"/>
        </w:rPr>
        <w:t>-out nicht erklären, würde er die von der Bundesverfassung verbrieften demokratischen Rechte der Bürger und Bürgerinnen verletzen!</w:t>
      </w:r>
    </w:p>
    <w:p w:rsidR="00F21132" w:rsidRPr="00F9099C" w:rsidRDefault="00F21132" w:rsidP="00220754">
      <w:pPr>
        <w:rPr>
          <w:sz w:val="21"/>
          <w:szCs w:val="21"/>
          <w:lang w:val="de-DE"/>
        </w:rPr>
      </w:pPr>
    </w:p>
    <w:p w:rsidR="00E828A0" w:rsidRPr="00F9099C" w:rsidRDefault="00E828A0" w:rsidP="00220754">
      <w:pPr>
        <w:rPr>
          <w:sz w:val="21"/>
          <w:szCs w:val="21"/>
          <w:lang w:val="de-DE"/>
        </w:rPr>
      </w:pPr>
    </w:p>
    <w:p w:rsidR="00210CCA" w:rsidRPr="00F9099C" w:rsidRDefault="00210CCA" w:rsidP="00220754">
      <w:pPr>
        <w:rPr>
          <w:sz w:val="21"/>
          <w:szCs w:val="21"/>
          <w:lang w:val="de-DE"/>
        </w:rPr>
      </w:pPr>
      <w:r w:rsidRPr="00F9099C">
        <w:rPr>
          <w:sz w:val="21"/>
          <w:szCs w:val="21"/>
          <w:lang w:val="de-DE"/>
        </w:rPr>
        <w:t xml:space="preserve">Freundliche </w:t>
      </w:r>
      <w:proofErr w:type="spellStart"/>
      <w:r w:rsidRPr="00F9099C">
        <w:rPr>
          <w:sz w:val="21"/>
          <w:szCs w:val="21"/>
          <w:lang w:val="de-DE"/>
        </w:rPr>
        <w:t>Grüsse</w:t>
      </w:r>
      <w:proofErr w:type="spellEnd"/>
    </w:p>
    <w:p w:rsidR="00220754" w:rsidRPr="00F9099C" w:rsidRDefault="00220754" w:rsidP="00220754">
      <w:pPr>
        <w:rPr>
          <w:sz w:val="21"/>
          <w:szCs w:val="21"/>
          <w:lang w:val="de-DE"/>
        </w:rPr>
      </w:pPr>
    </w:p>
    <w:p w:rsidR="00220754" w:rsidRPr="00F9099C" w:rsidRDefault="00220754" w:rsidP="00220754">
      <w:pPr>
        <w:rPr>
          <w:sz w:val="21"/>
          <w:szCs w:val="21"/>
        </w:rPr>
      </w:pPr>
      <w:r w:rsidRPr="00F9099C">
        <w:rPr>
          <w:sz w:val="21"/>
          <w:szCs w:val="21"/>
        </w:rPr>
        <w:t>Unterschrift</w:t>
      </w:r>
    </w:p>
    <w:p w:rsidR="00220754" w:rsidRPr="00F9099C" w:rsidRDefault="00220754">
      <w:pPr>
        <w:rPr>
          <w:sz w:val="21"/>
          <w:szCs w:val="21"/>
        </w:rPr>
      </w:pPr>
    </w:p>
    <w:p w:rsidR="003C14A2" w:rsidRPr="00F9099C" w:rsidRDefault="003C14A2">
      <w:pPr>
        <w:rPr>
          <w:sz w:val="21"/>
          <w:szCs w:val="21"/>
        </w:rPr>
      </w:pPr>
    </w:p>
    <w:sectPr w:rsidR="003C14A2" w:rsidRPr="00F9099C" w:rsidSect="00F31576">
      <w:footerReference w:type="even" r:id="rId8"/>
      <w:foot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72ECA" w:rsidRDefault="00672ECA" w:rsidP="00DB1BA8">
      <w:r>
        <w:separator/>
      </w:r>
    </w:p>
  </w:endnote>
  <w:endnote w:type="continuationSeparator" w:id="0">
    <w:p w:rsidR="00672ECA" w:rsidRDefault="00672ECA" w:rsidP="00DB1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635314703"/>
      <w:docPartObj>
        <w:docPartGallery w:val="Page Numbers (Bottom of Page)"/>
        <w:docPartUnique/>
      </w:docPartObj>
    </w:sdtPr>
    <w:sdtContent>
      <w:p w:rsidR="00937941" w:rsidRDefault="00937941" w:rsidP="0056261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937941" w:rsidRDefault="00937941" w:rsidP="0093794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sz w:val="18"/>
        <w:szCs w:val="18"/>
      </w:rPr>
      <w:id w:val="1404407398"/>
      <w:docPartObj>
        <w:docPartGallery w:val="Page Numbers (Bottom of Page)"/>
        <w:docPartUnique/>
      </w:docPartObj>
    </w:sdtPr>
    <w:sdtContent>
      <w:p w:rsidR="00937941" w:rsidRPr="00937941" w:rsidRDefault="00937941" w:rsidP="0056261F">
        <w:pPr>
          <w:pStyle w:val="Fuzeile"/>
          <w:framePr w:wrap="none" w:vAnchor="text" w:hAnchor="margin" w:xAlign="right" w:y="1"/>
          <w:rPr>
            <w:rStyle w:val="Seitenzahl"/>
            <w:sz w:val="18"/>
            <w:szCs w:val="18"/>
          </w:rPr>
        </w:pPr>
        <w:r w:rsidRPr="00937941">
          <w:rPr>
            <w:rStyle w:val="Seitenzahl"/>
            <w:sz w:val="18"/>
            <w:szCs w:val="18"/>
          </w:rPr>
          <w:fldChar w:fldCharType="begin"/>
        </w:r>
        <w:r w:rsidRPr="00937941">
          <w:rPr>
            <w:rStyle w:val="Seitenzahl"/>
            <w:sz w:val="18"/>
            <w:szCs w:val="18"/>
          </w:rPr>
          <w:instrText xml:space="preserve"> PAGE </w:instrText>
        </w:r>
        <w:r w:rsidRPr="00937941">
          <w:rPr>
            <w:rStyle w:val="Seitenzahl"/>
            <w:sz w:val="18"/>
            <w:szCs w:val="18"/>
          </w:rPr>
          <w:fldChar w:fldCharType="separate"/>
        </w:r>
        <w:r w:rsidRPr="00937941">
          <w:rPr>
            <w:rStyle w:val="Seitenzahl"/>
            <w:noProof/>
            <w:sz w:val="18"/>
            <w:szCs w:val="18"/>
          </w:rPr>
          <w:t>6</w:t>
        </w:r>
        <w:r w:rsidRPr="00937941">
          <w:rPr>
            <w:rStyle w:val="Seitenzahl"/>
            <w:sz w:val="18"/>
            <w:szCs w:val="18"/>
          </w:rPr>
          <w:fldChar w:fldCharType="end"/>
        </w:r>
      </w:p>
    </w:sdtContent>
  </w:sdt>
  <w:p w:rsidR="00937941" w:rsidRDefault="00937941" w:rsidP="00937941">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72ECA" w:rsidRDefault="00672ECA" w:rsidP="00DB1BA8">
      <w:r>
        <w:separator/>
      </w:r>
    </w:p>
  </w:footnote>
  <w:footnote w:type="continuationSeparator" w:id="0">
    <w:p w:rsidR="00672ECA" w:rsidRDefault="00672ECA" w:rsidP="00DB1BA8">
      <w:r>
        <w:continuationSeparator/>
      </w:r>
    </w:p>
  </w:footnote>
  <w:footnote w:id="1">
    <w:p w:rsidR="001C5D84" w:rsidRPr="001C5D84" w:rsidRDefault="001C5D84" w:rsidP="001C5D84">
      <w:pPr>
        <w:pStyle w:val="Literaturverzeichnis"/>
        <w:rPr>
          <w:sz w:val="18"/>
          <w:szCs w:val="18"/>
        </w:rPr>
      </w:pPr>
      <w:r>
        <w:rPr>
          <w:rStyle w:val="Funotenzeichen"/>
        </w:rPr>
        <w:footnoteRef/>
      </w:r>
      <w:r>
        <w:t xml:space="preserve"> </w:t>
      </w:r>
      <w:proofErr w:type="spellStart"/>
      <w:r w:rsidRPr="00A16EA2">
        <w:rPr>
          <w:sz w:val="20"/>
          <w:szCs w:val="20"/>
        </w:rPr>
        <w:t>Swissmedic</w:t>
      </w:r>
      <w:proofErr w:type="spellEnd"/>
      <w:r w:rsidRPr="00A16EA2">
        <w:rPr>
          <w:sz w:val="20"/>
          <w:szCs w:val="20"/>
        </w:rPr>
        <w:t xml:space="preserve">. 2020. DHPC – </w:t>
      </w:r>
      <w:proofErr w:type="spellStart"/>
      <w:r w:rsidRPr="00A16EA2">
        <w:rPr>
          <w:sz w:val="20"/>
          <w:szCs w:val="20"/>
        </w:rPr>
        <w:t>Hydroxychloroquin</w:t>
      </w:r>
      <w:proofErr w:type="spellEnd"/>
      <w:r w:rsidRPr="00A16EA2">
        <w:rPr>
          <w:sz w:val="20"/>
          <w:szCs w:val="20"/>
        </w:rPr>
        <w:t xml:space="preserve">. </w:t>
      </w:r>
      <w:proofErr w:type="spellStart"/>
      <w:r w:rsidRPr="00A16EA2">
        <w:rPr>
          <w:sz w:val="20"/>
          <w:szCs w:val="20"/>
        </w:rPr>
        <w:t>Mitteilung</w:t>
      </w:r>
      <w:proofErr w:type="spellEnd"/>
      <w:r w:rsidRPr="00A16EA2">
        <w:rPr>
          <w:sz w:val="20"/>
          <w:szCs w:val="20"/>
        </w:rPr>
        <w:t xml:space="preserve"> </w:t>
      </w:r>
      <w:proofErr w:type="spellStart"/>
      <w:r w:rsidRPr="00A16EA2">
        <w:rPr>
          <w:sz w:val="20"/>
          <w:szCs w:val="20"/>
        </w:rPr>
        <w:t>vom</w:t>
      </w:r>
      <w:proofErr w:type="spellEnd"/>
      <w:r w:rsidRPr="00A16EA2">
        <w:rPr>
          <w:sz w:val="20"/>
          <w:szCs w:val="20"/>
        </w:rPr>
        <w:t xml:space="preserve"> 27.7.2020. https://www.swissmedic.ch/swissmedic/de/home/humanarzneimittel/marktueberwachung/health-professional-communication--hpc-/dhpc-hydroxychloroquin.html</w:t>
      </w:r>
      <w:r w:rsidRPr="00A16EA2">
        <w:rPr>
          <w:sz w:val="18"/>
          <w:szCs w:val="18"/>
        </w:rPr>
        <w:t xml:space="preserve"> </w:t>
      </w:r>
    </w:p>
  </w:footnote>
  <w:footnote w:id="2">
    <w:p w:rsidR="001C5D84" w:rsidRDefault="001C5D84" w:rsidP="001C5D84">
      <w:pPr>
        <w:pStyle w:val="Funotentext"/>
      </w:pPr>
      <w:r>
        <w:rPr>
          <w:rStyle w:val="Funotenzeichen"/>
        </w:rPr>
        <w:footnoteRef/>
      </w:r>
      <w:r>
        <w:t xml:space="preserve"> </w:t>
      </w:r>
      <w:r w:rsidRPr="00A16EA2">
        <w:t>Pharmacien Cantonal. 11.6.2020. Commande de préparation à base d'hydroxychloroquine – Circulaire du pharmacien cantonal concernant la commande de préparation à base d'</w:t>
      </w:r>
      <w:proofErr w:type="spellStart"/>
      <w:r w:rsidRPr="00A16EA2">
        <w:t>hy-droxychloroquine</w:t>
      </w:r>
      <w:proofErr w:type="spellEnd"/>
      <w:r w:rsidRPr="00A16EA2">
        <w:t>. https://www.ge.ch/document/ commande-</w:t>
      </w:r>
      <w:proofErr w:type="spellStart"/>
      <w:r w:rsidRPr="00A16EA2">
        <w:t>preparation</w:t>
      </w:r>
      <w:proofErr w:type="spellEnd"/>
      <w:r w:rsidRPr="00A16EA2">
        <w:t>-base-hydroxychloroquine</w:t>
      </w:r>
    </w:p>
    <w:p w:rsidR="001C5D84" w:rsidRPr="00A16EA2" w:rsidRDefault="001C5D84" w:rsidP="001C5D84">
      <w:pPr>
        <w:pStyle w:val="Funotentext"/>
        <w:rPr>
          <w:lang w:val="de-CH"/>
        </w:rPr>
      </w:pPr>
    </w:p>
  </w:footnote>
  <w:footnote w:id="3">
    <w:p w:rsidR="001C5D84" w:rsidRPr="00C02FE0" w:rsidRDefault="001C5D84" w:rsidP="001C5D84">
      <w:r>
        <w:rPr>
          <w:rStyle w:val="Funotenzeichen"/>
        </w:rPr>
        <w:footnoteRef/>
      </w:r>
      <w:r>
        <w:t xml:space="preserve"> </w:t>
      </w:r>
      <w:r w:rsidRPr="00A16EA2">
        <w:rPr>
          <w:sz w:val="20"/>
          <w:szCs w:val="20"/>
        </w:rPr>
        <w:t xml:space="preserve">K. Beck. 2024. WHO </w:t>
      </w:r>
      <w:proofErr w:type="spellStart"/>
      <w:r w:rsidRPr="00A16EA2">
        <w:rPr>
          <w:sz w:val="20"/>
          <w:szCs w:val="20"/>
        </w:rPr>
        <w:t>cares</w:t>
      </w:r>
      <w:proofErr w:type="spellEnd"/>
      <w:r w:rsidRPr="00A16EA2">
        <w:rPr>
          <w:sz w:val="20"/>
          <w:szCs w:val="20"/>
        </w:rPr>
        <w:t xml:space="preserve">? – Die Schweizer Pandemiepolitik und der Einfluss der WHO – ein populärwissenschaftlicher Positionsbezug. </w:t>
      </w:r>
      <w:proofErr w:type="spellStart"/>
      <w:r w:rsidRPr="00A16EA2">
        <w:rPr>
          <w:sz w:val="20"/>
          <w:szCs w:val="20"/>
        </w:rPr>
        <w:t>Edubook</w:t>
      </w:r>
      <w:proofErr w:type="spellEnd"/>
      <w:r w:rsidRPr="00A16EA2">
        <w:rPr>
          <w:sz w:val="20"/>
          <w:szCs w:val="20"/>
        </w:rPr>
        <w:t>/Merenschwand.</w:t>
      </w:r>
      <w:r w:rsidRPr="001C5D84">
        <w:rPr>
          <w:sz w:val="20"/>
          <w:szCs w:val="20"/>
        </w:rPr>
        <w:t xml:space="preserve">  </w:t>
      </w:r>
      <w:hyperlink r:id="rId1" w:history="1">
        <w:r w:rsidRPr="001C5D84">
          <w:rPr>
            <w:rStyle w:val="Hyperlink"/>
            <w:sz w:val="20"/>
            <w:szCs w:val="20"/>
          </w:rPr>
          <w:t>https://shop.edubook.ch/de-ch/edubook_shop/edu.articlebrandid.719/beckwhocares0124-vaE</w:t>
        </w:r>
      </w:hyperlink>
      <w:r>
        <w:rPr>
          <w:color w:val="000000" w:themeColor="text1"/>
          <w:sz w:val="20"/>
          <w:szCs w:val="20"/>
        </w:rPr>
        <w:t>. E</w:t>
      </w:r>
      <w:r w:rsidRPr="00A16EA2">
        <w:rPr>
          <w:color w:val="000000" w:themeColor="text1"/>
          <w:sz w:val="20"/>
          <w:szCs w:val="20"/>
        </w:rPr>
        <w:t xml:space="preserve">inen ausführlichen Beschrieb der Diskussionen rund um HCQ und </w:t>
      </w:r>
      <w:proofErr w:type="spellStart"/>
      <w:r w:rsidRPr="00A16EA2">
        <w:rPr>
          <w:color w:val="000000" w:themeColor="text1"/>
          <w:sz w:val="20"/>
          <w:szCs w:val="20"/>
        </w:rPr>
        <w:t>Ivermectin</w:t>
      </w:r>
      <w:proofErr w:type="spellEnd"/>
      <w:r w:rsidRPr="00A16EA2">
        <w:rPr>
          <w:color w:val="000000" w:themeColor="text1"/>
          <w:sz w:val="20"/>
          <w:szCs w:val="20"/>
        </w:rPr>
        <w:t xml:space="preserve"> liefern Kennedy (</w:t>
      </w:r>
      <w:r w:rsidRPr="00A16EA2">
        <w:rPr>
          <w:sz w:val="20"/>
          <w:szCs w:val="20"/>
        </w:rPr>
        <w:t xml:space="preserve">R. Jr. 2022. Das wahre Gesicht des Dr. Fauci, Kopp, Rottenburg, </w:t>
      </w:r>
      <w:r w:rsidRPr="00A16EA2">
        <w:rPr>
          <w:color w:val="000000" w:themeColor="text1"/>
          <w:sz w:val="20"/>
          <w:szCs w:val="20"/>
        </w:rPr>
        <w:t xml:space="preserve">S. 63-140) und Vontobel </w:t>
      </w:r>
      <w:r w:rsidRPr="00A16EA2">
        <w:rPr>
          <w:sz w:val="20"/>
          <w:szCs w:val="20"/>
        </w:rPr>
        <w:t>W. 2022. Die Medien kannten die Antworten, bevor sie die Frage gestellt hatten, in: Der Corona-Elefant, Kap 4.,</w:t>
      </w:r>
      <w:r w:rsidRPr="00A16EA2">
        <w:rPr>
          <w:color w:val="000000" w:themeColor="text1"/>
          <w:sz w:val="20"/>
          <w:szCs w:val="20"/>
        </w:rPr>
        <w:t xml:space="preserve"> S. 41ff). </w:t>
      </w:r>
    </w:p>
  </w:footnote>
  <w:footnote w:id="4">
    <w:p w:rsidR="001C5D84" w:rsidRPr="008731A9" w:rsidRDefault="001C5D84" w:rsidP="001C5D84">
      <w:pPr>
        <w:rPr>
          <w:color w:val="000000" w:themeColor="text1"/>
          <w:sz w:val="20"/>
          <w:szCs w:val="20"/>
        </w:rPr>
      </w:pPr>
      <w:r>
        <w:rPr>
          <w:rStyle w:val="Funotenzeichen"/>
        </w:rPr>
        <w:footnoteRef/>
      </w:r>
      <w:r>
        <w:t xml:space="preserve"> </w:t>
      </w:r>
      <w:r w:rsidRPr="008731A9">
        <w:rPr>
          <w:color w:val="000000" w:themeColor="text1"/>
          <w:sz w:val="20"/>
          <w:szCs w:val="20"/>
        </w:rPr>
        <w:t xml:space="preserve">Die AAPS (States </w:t>
      </w:r>
      <w:proofErr w:type="spellStart"/>
      <w:r w:rsidRPr="008731A9">
        <w:rPr>
          <w:color w:val="000000" w:themeColor="text1"/>
          <w:sz w:val="20"/>
          <w:szCs w:val="20"/>
        </w:rPr>
        <w:t>Association</w:t>
      </w:r>
      <w:proofErr w:type="spellEnd"/>
      <w:r w:rsidRPr="008731A9">
        <w:rPr>
          <w:color w:val="000000" w:themeColor="text1"/>
          <w:sz w:val="20"/>
          <w:szCs w:val="20"/>
        </w:rPr>
        <w:t xml:space="preserve"> </w:t>
      </w:r>
      <w:proofErr w:type="spellStart"/>
      <w:r w:rsidRPr="008731A9">
        <w:rPr>
          <w:color w:val="000000" w:themeColor="text1"/>
          <w:sz w:val="20"/>
          <w:szCs w:val="20"/>
        </w:rPr>
        <w:t>of</w:t>
      </w:r>
      <w:proofErr w:type="spellEnd"/>
      <w:r w:rsidRPr="008731A9">
        <w:rPr>
          <w:color w:val="000000" w:themeColor="text1"/>
          <w:sz w:val="20"/>
          <w:szCs w:val="20"/>
        </w:rPr>
        <w:t xml:space="preserve"> American </w:t>
      </w:r>
      <w:proofErr w:type="spellStart"/>
      <w:r w:rsidRPr="008731A9">
        <w:rPr>
          <w:color w:val="000000" w:themeColor="text1"/>
          <w:sz w:val="20"/>
          <w:szCs w:val="20"/>
        </w:rPr>
        <w:t>Physicians</w:t>
      </w:r>
      <w:proofErr w:type="spellEnd"/>
      <w:r w:rsidRPr="008731A9">
        <w:rPr>
          <w:color w:val="000000" w:themeColor="text1"/>
          <w:sz w:val="20"/>
          <w:szCs w:val="20"/>
        </w:rPr>
        <w:t xml:space="preserve"> &amp; </w:t>
      </w:r>
      <w:proofErr w:type="spellStart"/>
      <w:r w:rsidRPr="008731A9">
        <w:rPr>
          <w:color w:val="000000" w:themeColor="text1"/>
          <w:sz w:val="20"/>
          <w:szCs w:val="20"/>
        </w:rPr>
        <w:t>Surgeons</w:t>
      </w:r>
      <w:proofErr w:type="spellEnd"/>
      <w:r w:rsidRPr="008731A9">
        <w:rPr>
          <w:color w:val="000000" w:themeColor="text1"/>
          <w:sz w:val="20"/>
          <w:szCs w:val="20"/>
        </w:rPr>
        <w:t>), eine amerikanische Ärztevereinigung, gegründet 1943, schrieb: «</w:t>
      </w:r>
      <w:proofErr w:type="spellStart"/>
      <w:r w:rsidRPr="008731A9">
        <w:rPr>
          <w:color w:val="000000" w:themeColor="text1"/>
          <w:sz w:val="20"/>
          <w:szCs w:val="20"/>
        </w:rPr>
        <w:t>Doses</w:t>
      </w:r>
      <w:proofErr w:type="spellEnd"/>
      <w:r w:rsidRPr="008731A9">
        <w:rPr>
          <w:color w:val="000000" w:themeColor="text1"/>
          <w:sz w:val="20"/>
          <w:szCs w:val="20"/>
        </w:rPr>
        <w:t xml:space="preserve"> </w:t>
      </w:r>
      <w:proofErr w:type="spellStart"/>
      <w:r w:rsidRPr="008731A9">
        <w:rPr>
          <w:color w:val="000000" w:themeColor="text1"/>
          <w:sz w:val="20"/>
          <w:szCs w:val="20"/>
        </w:rPr>
        <w:t>of</w:t>
      </w:r>
      <w:proofErr w:type="spellEnd"/>
      <w:r w:rsidRPr="008731A9">
        <w:rPr>
          <w:color w:val="000000" w:themeColor="text1"/>
          <w:sz w:val="20"/>
          <w:szCs w:val="20"/>
        </w:rPr>
        <w:t xml:space="preserve"> HCQ in </w:t>
      </w:r>
      <w:proofErr w:type="spellStart"/>
      <w:r w:rsidRPr="008731A9">
        <w:rPr>
          <w:color w:val="000000" w:themeColor="text1"/>
          <w:sz w:val="20"/>
          <w:szCs w:val="20"/>
        </w:rPr>
        <w:t>some</w:t>
      </w:r>
      <w:proofErr w:type="spellEnd"/>
      <w:r w:rsidRPr="008731A9">
        <w:rPr>
          <w:color w:val="000000" w:themeColor="text1"/>
          <w:sz w:val="20"/>
          <w:szCs w:val="20"/>
        </w:rPr>
        <w:t xml:space="preserve"> </w:t>
      </w:r>
      <w:proofErr w:type="spellStart"/>
      <w:r w:rsidRPr="008731A9">
        <w:rPr>
          <w:color w:val="000000" w:themeColor="text1"/>
          <w:sz w:val="20"/>
          <w:szCs w:val="20"/>
        </w:rPr>
        <w:t>trials</w:t>
      </w:r>
      <w:proofErr w:type="spellEnd"/>
      <w:r w:rsidRPr="008731A9">
        <w:rPr>
          <w:color w:val="000000" w:themeColor="text1"/>
          <w:sz w:val="20"/>
          <w:szCs w:val="20"/>
        </w:rPr>
        <w:t xml:space="preserve">, such </w:t>
      </w:r>
      <w:proofErr w:type="spellStart"/>
      <w:r w:rsidRPr="008731A9">
        <w:rPr>
          <w:color w:val="000000" w:themeColor="text1"/>
          <w:sz w:val="20"/>
          <w:szCs w:val="20"/>
        </w:rPr>
        <w:t>as</w:t>
      </w:r>
      <w:proofErr w:type="spellEnd"/>
      <w:r w:rsidRPr="008731A9">
        <w:rPr>
          <w:color w:val="000000" w:themeColor="text1"/>
          <w:sz w:val="20"/>
          <w:szCs w:val="20"/>
        </w:rPr>
        <w:t xml:space="preserve"> </w:t>
      </w:r>
      <w:proofErr w:type="spellStart"/>
      <w:r w:rsidRPr="008731A9">
        <w:rPr>
          <w:color w:val="000000" w:themeColor="text1"/>
          <w:sz w:val="20"/>
          <w:szCs w:val="20"/>
        </w:rPr>
        <w:t>the</w:t>
      </w:r>
      <w:proofErr w:type="spellEnd"/>
      <w:r w:rsidRPr="008731A9">
        <w:rPr>
          <w:color w:val="000000" w:themeColor="text1"/>
          <w:sz w:val="20"/>
          <w:szCs w:val="20"/>
        </w:rPr>
        <w:t xml:space="preserve"> </w:t>
      </w:r>
      <w:proofErr w:type="spellStart"/>
      <w:r w:rsidRPr="008731A9">
        <w:rPr>
          <w:color w:val="000000" w:themeColor="text1"/>
          <w:sz w:val="20"/>
          <w:szCs w:val="20"/>
        </w:rPr>
        <w:t>UK's</w:t>
      </w:r>
      <w:proofErr w:type="spellEnd"/>
      <w:r w:rsidRPr="008731A9">
        <w:rPr>
          <w:color w:val="000000" w:themeColor="text1"/>
          <w:sz w:val="20"/>
          <w:szCs w:val="20"/>
        </w:rPr>
        <w:t xml:space="preserve"> ‹Recovery› trial and </w:t>
      </w:r>
      <w:proofErr w:type="spellStart"/>
      <w:r w:rsidRPr="008731A9">
        <w:rPr>
          <w:color w:val="000000" w:themeColor="text1"/>
          <w:sz w:val="20"/>
          <w:szCs w:val="20"/>
        </w:rPr>
        <w:t>the</w:t>
      </w:r>
      <w:proofErr w:type="spellEnd"/>
      <w:r w:rsidRPr="008731A9">
        <w:rPr>
          <w:color w:val="000000" w:themeColor="text1"/>
          <w:sz w:val="20"/>
          <w:szCs w:val="20"/>
        </w:rPr>
        <w:t xml:space="preserve"> multinational World Health </w:t>
      </w:r>
      <w:proofErr w:type="spellStart"/>
      <w:r w:rsidRPr="008731A9">
        <w:rPr>
          <w:color w:val="000000" w:themeColor="text1"/>
          <w:sz w:val="20"/>
          <w:szCs w:val="20"/>
        </w:rPr>
        <w:t>Organization</w:t>
      </w:r>
      <w:proofErr w:type="spellEnd"/>
      <w:r w:rsidRPr="008731A9">
        <w:rPr>
          <w:color w:val="000000" w:themeColor="text1"/>
          <w:sz w:val="20"/>
          <w:szCs w:val="20"/>
        </w:rPr>
        <w:t xml:space="preserve"> (WHO) </w:t>
      </w:r>
      <w:proofErr w:type="spellStart"/>
      <w:r w:rsidRPr="008731A9">
        <w:rPr>
          <w:color w:val="000000" w:themeColor="text1"/>
          <w:sz w:val="20"/>
          <w:szCs w:val="20"/>
        </w:rPr>
        <w:t>Solidarity</w:t>
      </w:r>
      <w:proofErr w:type="spellEnd"/>
      <w:r w:rsidRPr="008731A9">
        <w:rPr>
          <w:color w:val="000000" w:themeColor="text1"/>
          <w:sz w:val="20"/>
          <w:szCs w:val="20"/>
        </w:rPr>
        <w:t xml:space="preserve"> trial </w:t>
      </w:r>
      <w:proofErr w:type="spellStart"/>
      <w:r w:rsidRPr="008731A9">
        <w:rPr>
          <w:color w:val="000000" w:themeColor="text1"/>
          <w:sz w:val="20"/>
          <w:szCs w:val="20"/>
        </w:rPr>
        <w:t>may</w:t>
      </w:r>
      <w:proofErr w:type="spellEnd"/>
      <w:r w:rsidRPr="008731A9">
        <w:rPr>
          <w:color w:val="000000" w:themeColor="text1"/>
          <w:sz w:val="20"/>
          <w:szCs w:val="20"/>
        </w:rPr>
        <w:t xml:space="preserve"> </w:t>
      </w:r>
      <w:proofErr w:type="spellStart"/>
      <w:r w:rsidRPr="008731A9">
        <w:rPr>
          <w:color w:val="000000" w:themeColor="text1"/>
          <w:sz w:val="20"/>
          <w:szCs w:val="20"/>
        </w:rPr>
        <w:t>be</w:t>
      </w:r>
      <w:proofErr w:type="spellEnd"/>
      <w:r w:rsidRPr="008731A9">
        <w:rPr>
          <w:color w:val="000000" w:themeColor="text1"/>
          <w:sz w:val="20"/>
          <w:szCs w:val="20"/>
        </w:rPr>
        <w:t xml:space="preserve"> </w:t>
      </w:r>
      <w:proofErr w:type="spellStart"/>
      <w:r w:rsidRPr="008731A9">
        <w:rPr>
          <w:color w:val="000000" w:themeColor="text1"/>
          <w:sz w:val="20"/>
          <w:szCs w:val="20"/>
        </w:rPr>
        <w:t>toxic</w:t>
      </w:r>
      <w:proofErr w:type="spellEnd"/>
      <w:r w:rsidRPr="008731A9">
        <w:rPr>
          <w:color w:val="000000" w:themeColor="text1"/>
          <w:sz w:val="20"/>
          <w:szCs w:val="20"/>
        </w:rPr>
        <w:t xml:space="preserve"> </w:t>
      </w:r>
      <w:proofErr w:type="spellStart"/>
      <w:r w:rsidRPr="008731A9">
        <w:rPr>
          <w:color w:val="000000" w:themeColor="text1"/>
          <w:sz w:val="20"/>
          <w:szCs w:val="20"/>
        </w:rPr>
        <w:t>or</w:t>
      </w:r>
      <w:proofErr w:type="spellEnd"/>
      <w:r w:rsidRPr="008731A9">
        <w:rPr>
          <w:color w:val="000000" w:themeColor="text1"/>
          <w:sz w:val="20"/>
          <w:szCs w:val="20"/>
        </w:rPr>
        <w:t xml:space="preserve"> </w:t>
      </w:r>
      <w:proofErr w:type="spellStart"/>
      <w:r w:rsidRPr="008731A9">
        <w:rPr>
          <w:color w:val="000000" w:themeColor="text1"/>
          <w:sz w:val="20"/>
          <w:szCs w:val="20"/>
        </w:rPr>
        <w:t>even</w:t>
      </w:r>
      <w:proofErr w:type="spellEnd"/>
      <w:r w:rsidRPr="008731A9">
        <w:rPr>
          <w:color w:val="000000" w:themeColor="text1"/>
          <w:sz w:val="20"/>
          <w:szCs w:val="20"/>
        </w:rPr>
        <w:t xml:space="preserve"> </w:t>
      </w:r>
      <w:proofErr w:type="spellStart"/>
      <w:r w:rsidRPr="008731A9">
        <w:rPr>
          <w:color w:val="000000" w:themeColor="text1"/>
          <w:sz w:val="20"/>
          <w:szCs w:val="20"/>
        </w:rPr>
        <w:t>lethal</w:t>
      </w:r>
      <w:proofErr w:type="spellEnd"/>
      <w:r w:rsidRPr="008731A9">
        <w:rPr>
          <w:color w:val="000000" w:themeColor="text1"/>
          <w:sz w:val="20"/>
          <w:szCs w:val="20"/>
        </w:rPr>
        <w:t xml:space="preserve">, and </w:t>
      </w:r>
      <w:proofErr w:type="spellStart"/>
      <w:r w:rsidRPr="008731A9">
        <w:rPr>
          <w:color w:val="000000" w:themeColor="text1"/>
          <w:sz w:val="20"/>
          <w:szCs w:val="20"/>
        </w:rPr>
        <w:t>much</w:t>
      </w:r>
      <w:proofErr w:type="spellEnd"/>
      <w:r w:rsidRPr="008731A9">
        <w:rPr>
          <w:color w:val="000000" w:themeColor="text1"/>
          <w:sz w:val="20"/>
          <w:szCs w:val="20"/>
        </w:rPr>
        <w:t xml:space="preserve"> </w:t>
      </w:r>
      <w:proofErr w:type="spellStart"/>
      <w:r w:rsidRPr="008731A9">
        <w:rPr>
          <w:color w:val="000000" w:themeColor="text1"/>
          <w:sz w:val="20"/>
          <w:szCs w:val="20"/>
        </w:rPr>
        <w:t>higher</w:t>
      </w:r>
      <w:proofErr w:type="spellEnd"/>
      <w:r w:rsidRPr="008731A9">
        <w:rPr>
          <w:color w:val="000000" w:themeColor="text1"/>
          <w:sz w:val="20"/>
          <w:szCs w:val="20"/>
        </w:rPr>
        <w:t xml:space="preserve"> </w:t>
      </w:r>
      <w:proofErr w:type="spellStart"/>
      <w:r w:rsidRPr="008731A9">
        <w:rPr>
          <w:color w:val="000000" w:themeColor="text1"/>
          <w:sz w:val="20"/>
          <w:szCs w:val="20"/>
        </w:rPr>
        <w:t>than</w:t>
      </w:r>
      <w:proofErr w:type="spellEnd"/>
      <w:r w:rsidRPr="008731A9">
        <w:rPr>
          <w:color w:val="000000" w:themeColor="text1"/>
          <w:sz w:val="20"/>
          <w:szCs w:val="20"/>
        </w:rPr>
        <w:t xml:space="preserve"> </w:t>
      </w:r>
      <w:proofErr w:type="spellStart"/>
      <w:r w:rsidRPr="008731A9">
        <w:rPr>
          <w:color w:val="000000" w:themeColor="text1"/>
          <w:sz w:val="20"/>
          <w:szCs w:val="20"/>
        </w:rPr>
        <w:t>recommended</w:t>
      </w:r>
      <w:proofErr w:type="spellEnd"/>
      <w:r w:rsidRPr="008731A9">
        <w:rPr>
          <w:color w:val="000000" w:themeColor="text1"/>
          <w:sz w:val="20"/>
          <w:szCs w:val="20"/>
        </w:rPr>
        <w:t xml:space="preserve"> </w:t>
      </w:r>
      <w:proofErr w:type="spellStart"/>
      <w:r w:rsidRPr="008731A9">
        <w:rPr>
          <w:color w:val="000000" w:themeColor="text1"/>
          <w:sz w:val="20"/>
          <w:szCs w:val="20"/>
        </w:rPr>
        <w:t>for</w:t>
      </w:r>
      <w:proofErr w:type="spellEnd"/>
      <w:r w:rsidRPr="008731A9">
        <w:rPr>
          <w:color w:val="000000" w:themeColor="text1"/>
          <w:sz w:val="20"/>
          <w:szCs w:val="20"/>
        </w:rPr>
        <w:t xml:space="preserve"> </w:t>
      </w:r>
      <w:proofErr w:type="spellStart"/>
      <w:r w:rsidRPr="008731A9">
        <w:rPr>
          <w:color w:val="000000" w:themeColor="text1"/>
          <w:sz w:val="20"/>
          <w:szCs w:val="20"/>
        </w:rPr>
        <w:t>any</w:t>
      </w:r>
      <w:proofErr w:type="spellEnd"/>
      <w:r w:rsidRPr="008731A9">
        <w:rPr>
          <w:color w:val="000000" w:themeColor="text1"/>
          <w:sz w:val="20"/>
          <w:szCs w:val="20"/>
        </w:rPr>
        <w:t xml:space="preserve"> </w:t>
      </w:r>
      <w:proofErr w:type="spellStart"/>
      <w:r w:rsidRPr="008731A9">
        <w:rPr>
          <w:color w:val="000000" w:themeColor="text1"/>
          <w:sz w:val="20"/>
          <w:szCs w:val="20"/>
        </w:rPr>
        <w:t>medical</w:t>
      </w:r>
      <w:proofErr w:type="spellEnd"/>
      <w:r w:rsidRPr="008731A9">
        <w:rPr>
          <w:color w:val="000000" w:themeColor="text1"/>
          <w:sz w:val="20"/>
          <w:szCs w:val="20"/>
        </w:rPr>
        <w:t xml:space="preserve"> </w:t>
      </w:r>
      <w:proofErr w:type="spellStart"/>
      <w:r w:rsidRPr="008731A9">
        <w:rPr>
          <w:color w:val="000000" w:themeColor="text1"/>
          <w:sz w:val="20"/>
          <w:szCs w:val="20"/>
        </w:rPr>
        <w:t>condition</w:t>
      </w:r>
      <w:proofErr w:type="spellEnd"/>
      <w:r w:rsidRPr="008731A9">
        <w:rPr>
          <w:color w:val="000000" w:themeColor="text1"/>
          <w:sz w:val="20"/>
          <w:szCs w:val="20"/>
        </w:rPr>
        <w:t xml:space="preserve">. The </w:t>
      </w:r>
      <w:proofErr w:type="spellStart"/>
      <w:r w:rsidRPr="008731A9">
        <w:rPr>
          <w:color w:val="000000" w:themeColor="text1"/>
          <w:sz w:val="20"/>
          <w:szCs w:val="20"/>
        </w:rPr>
        <w:t>cumulative</w:t>
      </w:r>
      <w:proofErr w:type="spellEnd"/>
      <w:r w:rsidRPr="008731A9">
        <w:rPr>
          <w:color w:val="000000" w:themeColor="text1"/>
          <w:sz w:val="20"/>
          <w:szCs w:val="20"/>
        </w:rPr>
        <w:t xml:space="preserve"> dose </w:t>
      </w:r>
      <w:proofErr w:type="spellStart"/>
      <w:r w:rsidRPr="008731A9">
        <w:rPr>
          <w:color w:val="000000" w:themeColor="text1"/>
          <w:sz w:val="20"/>
          <w:szCs w:val="20"/>
        </w:rPr>
        <w:t>of</w:t>
      </w:r>
      <w:proofErr w:type="spellEnd"/>
      <w:r w:rsidRPr="008731A9">
        <w:rPr>
          <w:color w:val="000000" w:themeColor="text1"/>
          <w:sz w:val="20"/>
          <w:szCs w:val="20"/>
        </w:rPr>
        <w:t xml:space="preserve"> </w:t>
      </w:r>
      <w:proofErr w:type="spellStart"/>
      <w:r w:rsidRPr="008731A9">
        <w:rPr>
          <w:color w:val="000000" w:themeColor="text1"/>
          <w:sz w:val="20"/>
          <w:szCs w:val="20"/>
        </w:rPr>
        <w:t>this</w:t>
      </w:r>
      <w:proofErr w:type="spellEnd"/>
      <w:r w:rsidRPr="008731A9">
        <w:rPr>
          <w:color w:val="000000" w:themeColor="text1"/>
          <w:sz w:val="20"/>
          <w:szCs w:val="20"/>
        </w:rPr>
        <w:t xml:space="preserve"> </w:t>
      </w:r>
      <w:proofErr w:type="spellStart"/>
      <w:r w:rsidRPr="008731A9">
        <w:rPr>
          <w:color w:val="000000" w:themeColor="text1"/>
          <w:sz w:val="20"/>
          <w:szCs w:val="20"/>
        </w:rPr>
        <w:t>long-acting</w:t>
      </w:r>
      <w:proofErr w:type="spellEnd"/>
      <w:r w:rsidRPr="008731A9">
        <w:rPr>
          <w:color w:val="000000" w:themeColor="text1"/>
          <w:sz w:val="20"/>
          <w:szCs w:val="20"/>
        </w:rPr>
        <w:t xml:space="preserve"> </w:t>
      </w:r>
      <w:proofErr w:type="spellStart"/>
      <w:r w:rsidRPr="008731A9">
        <w:rPr>
          <w:color w:val="000000" w:themeColor="text1"/>
          <w:sz w:val="20"/>
          <w:szCs w:val="20"/>
        </w:rPr>
        <w:t>drug</w:t>
      </w:r>
      <w:proofErr w:type="spellEnd"/>
      <w:r w:rsidRPr="008731A9">
        <w:rPr>
          <w:color w:val="000000" w:themeColor="text1"/>
          <w:sz w:val="20"/>
          <w:szCs w:val="20"/>
        </w:rPr>
        <w:t xml:space="preserve"> in </w:t>
      </w:r>
      <w:proofErr w:type="spellStart"/>
      <w:r w:rsidRPr="008731A9">
        <w:rPr>
          <w:color w:val="000000" w:themeColor="text1"/>
          <w:sz w:val="20"/>
          <w:szCs w:val="20"/>
        </w:rPr>
        <w:t>the</w:t>
      </w:r>
      <w:proofErr w:type="spellEnd"/>
      <w:r w:rsidRPr="008731A9">
        <w:rPr>
          <w:color w:val="000000" w:themeColor="text1"/>
          <w:sz w:val="20"/>
          <w:szCs w:val="20"/>
        </w:rPr>
        <w:t xml:space="preserve"> ‹Recovery› trial (…) </w:t>
      </w:r>
      <w:proofErr w:type="spellStart"/>
      <w:r w:rsidRPr="008731A9">
        <w:rPr>
          <w:color w:val="000000" w:themeColor="text1"/>
          <w:sz w:val="20"/>
          <w:szCs w:val="20"/>
        </w:rPr>
        <w:t>is</w:t>
      </w:r>
      <w:proofErr w:type="spellEnd"/>
      <w:r w:rsidRPr="008731A9">
        <w:rPr>
          <w:color w:val="000000" w:themeColor="text1"/>
          <w:sz w:val="20"/>
          <w:szCs w:val="20"/>
        </w:rPr>
        <w:t xml:space="preserve"> </w:t>
      </w:r>
      <w:proofErr w:type="spellStart"/>
      <w:r w:rsidRPr="008731A9">
        <w:rPr>
          <w:color w:val="000000" w:themeColor="text1"/>
          <w:sz w:val="20"/>
          <w:szCs w:val="20"/>
        </w:rPr>
        <w:t>four</w:t>
      </w:r>
      <w:proofErr w:type="spellEnd"/>
      <w:r w:rsidRPr="008731A9">
        <w:rPr>
          <w:color w:val="000000" w:themeColor="text1"/>
          <w:sz w:val="20"/>
          <w:szCs w:val="20"/>
        </w:rPr>
        <w:t xml:space="preserve"> </w:t>
      </w:r>
      <w:proofErr w:type="spellStart"/>
      <w:r w:rsidRPr="008731A9">
        <w:rPr>
          <w:color w:val="000000" w:themeColor="text1"/>
          <w:sz w:val="20"/>
          <w:szCs w:val="20"/>
        </w:rPr>
        <w:t>times</w:t>
      </w:r>
      <w:proofErr w:type="spellEnd"/>
      <w:r w:rsidRPr="008731A9">
        <w:rPr>
          <w:color w:val="000000" w:themeColor="text1"/>
          <w:sz w:val="20"/>
          <w:szCs w:val="20"/>
        </w:rPr>
        <w:t xml:space="preserve"> </w:t>
      </w:r>
      <w:proofErr w:type="spellStart"/>
      <w:r w:rsidRPr="008731A9">
        <w:rPr>
          <w:color w:val="000000" w:themeColor="text1"/>
          <w:sz w:val="20"/>
          <w:szCs w:val="20"/>
        </w:rPr>
        <w:t>as</w:t>
      </w:r>
      <w:proofErr w:type="spellEnd"/>
      <w:r w:rsidRPr="008731A9">
        <w:rPr>
          <w:color w:val="000000" w:themeColor="text1"/>
          <w:sz w:val="20"/>
          <w:szCs w:val="20"/>
        </w:rPr>
        <w:t xml:space="preserve"> high </w:t>
      </w:r>
      <w:proofErr w:type="spellStart"/>
      <w:r w:rsidRPr="008731A9">
        <w:rPr>
          <w:color w:val="000000" w:themeColor="text1"/>
          <w:sz w:val="20"/>
          <w:szCs w:val="20"/>
        </w:rPr>
        <w:t>as</w:t>
      </w:r>
      <w:proofErr w:type="spellEnd"/>
      <w:r w:rsidRPr="008731A9">
        <w:rPr>
          <w:color w:val="000000" w:themeColor="text1"/>
          <w:sz w:val="20"/>
          <w:szCs w:val="20"/>
        </w:rPr>
        <w:t xml:space="preserve"> </w:t>
      </w:r>
      <w:proofErr w:type="spellStart"/>
      <w:r w:rsidRPr="008731A9">
        <w:rPr>
          <w:color w:val="000000" w:themeColor="text1"/>
          <w:sz w:val="20"/>
          <w:szCs w:val="20"/>
        </w:rPr>
        <w:t>used</w:t>
      </w:r>
      <w:proofErr w:type="spellEnd"/>
      <w:r w:rsidRPr="008731A9">
        <w:rPr>
          <w:color w:val="000000" w:themeColor="text1"/>
          <w:sz w:val="20"/>
          <w:szCs w:val="20"/>
        </w:rPr>
        <w:t xml:space="preserve"> in India» (</w:t>
      </w:r>
      <w:r w:rsidRPr="001C5D84">
        <w:rPr>
          <w:color w:val="000000" w:themeColor="text1"/>
          <w:sz w:val="20"/>
          <w:szCs w:val="20"/>
        </w:rPr>
        <w:t>AAPS, 2020).</w:t>
      </w:r>
      <w:r w:rsidRPr="008731A9">
        <w:rPr>
          <w:color w:val="000000" w:themeColor="text1"/>
          <w:sz w:val="20"/>
          <w:szCs w:val="20"/>
        </w:rPr>
        <w:t xml:space="preserve"> </w:t>
      </w:r>
    </w:p>
    <w:p w:rsidR="001C5D84" w:rsidRDefault="001C5D84" w:rsidP="001C5D84">
      <w:pPr>
        <w:pStyle w:val="Funotentext"/>
        <w:rPr>
          <w:color w:val="000000" w:themeColor="text1"/>
        </w:rPr>
      </w:pPr>
      <w:proofErr w:type="spellStart"/>
      <w:r w:rsidRPr="00B814EF">
        <w:rPr>
          <w:color w:val="000000" w:themeColor="text1"/>
        </w:rPr>
        <w:t>Zu</w:t>
      </w:r>
      <w:proofErr w:type="spellEnd"/>
      <w:r w:rsidRPr="00B814EF">
        <w:rPr>
          <w:color w:val="000000" w:themeColor="text1"/>
        </w:rPr>
        <w:t xml:space="preserve"> </w:t>
      </w:r>
      <w:proofErr w:type="gramStart"/>
      <w:r w:rsidRPr="00B814EF">
        <w:rPr>
          <w:color w:val="000000" w:themeColor="text1"/>
        </w:rPr>
        <w:t>Deutsch:</w:t>
      </w:r>
      <w:proofErr w:type="gramEnd"/>
      <w:r w:rsidRPr="00B814EF">
        <w:rPr>
          <w:color w:val="000000" w:themeColor="text1"/>
        </w:rPr>
        <w:t xml:space="preserve"> «Die </w:t>
      </w:r>
      <w:proofErr w:type="spellStart"/>
      <w:r w:rsidRPr="00B814EF">
        <w:rPr>
          <w:color w:val="000000" w:themeColor="text1"/>
        </w:rPr>
        <w:t>Dosierung</w:t>
      </w:r>
      <w:proofErr w:type="spellEnd"/>
      <w:r w:rsidRPr="00B814EF">
        <w:rPr>
          <w:color w:val="000000" w:themeColor="text1"/>
        </w:rPr>
        <w:t xml:space="preserve"> von HCQ in </w:t>
      </w:r>
      <w:proofErr w:type="spellStart"/>
      <w:r w:rsidRPr="00B814EF">
        <w:rPr>
          <w:color w:val="000000" w:themeColor="text1"/>
        </w:rPr>
        <w:t>gewissen</w:t>
      </w:r>
      <w:proofErr w:type="spellEnd"/>
      <w:r w:rsidRPr="00B814EF">
        <w:rPr>
          <w:color w:val="000000" w:themeColor="text1"/>
        </w:rPr>
        <w:t xml:space="preserve"> </w:t>
      </w:r>
      <w:proofErr w:type="spellStart"/>
      <w:r w:rsidRPr="00B814EF">
        <w:rPr>
          <w:color w:val="000000" w:themeColor="text1"/>
        </w:rPr>
        <w:t>Experimenten</w:t>
      </w:r>
      <w:proofErr w:type="spellEnd"/>
      <w:r w:rsidRPr="00B814EF">
        <w:rPr>
          <w:color w:val="000000" w:themeColor="text1"/>
        </w:rPr>
        <w:t xml:space="preserve">, </w:t>
      </w:r>
      <w:proofErr w:type="spellStart"/>
      <w:r w:rsidRPr="00B814EF">
        <w:rPr>
          <w:color w:val="000000" w:themeColor="text1"/>
        </w:rPr>
        <w:t>so</w:t>
      </w:r>
      <w:proofErr w:type="spellEnd"/>
      <w:r w:rsidRPr="00B814EF">
        <w:rPr>
          <w:color w:val="000000" w:themeColor="text1"/>
        </w:rPr>
        <w:t xml:space="preserve"> </w:t>
      </w:r>
      <w:proofErr w:type="spellStart"/>
      <w:r w:rsidRPr="00B814EF">
        <w:rPr>
          <w:color w:val="000000" w:themeColor="text1"/>
        </w:rPr>
        <w:t>im</w:t>
      </w:r>
      <w:proofErr w:type="spellEnd"/>
      <w:r w:rsidRPr="00B814EF">
        <w:rPr>
          <w:color w:val="000000" w:themeColor="text1"/>
        </w:rPr>
        <w:t xml:space="preserve"> ‹</w:t>
      </w:r>
      <w:proofErr w:type="spellStart"/>
      <w:r w:rsidRPr="00B814EF">
        <w:rPr>
          <w:color w:val="000000" w:themeColor="text1"/>
        </w:rPr>
        <w:t>Recovery</w:t>
      </w:r>
      <w:proofErr w:type="spellEnd"/>
      <w:r w:rsidRPr="00B814EF">
        <w:rPr>
          <w:color w:val="000000" w:themeColor="text1"/>
        </w:rPr>
        <w:t>›-</w:t>
      </w:r>
      <w:proofErr w:type="spellStart"/>
      <w:r w:rsidRPr="00B814EF">
        <w:rPr>
          <w:color w:val="000000" w:themeColor="text1"/>
        </w:rPr>
        <w:t>Experiment</w:t>
      </w:r>
      <w:proofErr w:type="spellEnd"/>
      <w:r w:rsidRPr="00B814EF">
        <w:rPr>
          <w:color w:val="000000" w:themeColor="text1"/>
        </w:rPr>
        <w:t xml:space="preserve"> in </w:t>
      </w:r>
      <w:proofErr w:type="spellStart"/>
      <w:r w:rsidRPr="00B814EF">
        <w:rPr>
          <w:color w:val="000000" w:themeColor="text1"/>
        </w:rPr>
        <w:t>England</w:t>
      </w:r>
      <w:proofErr w:type="spellEnd"/>
      <w:r w:rsidRPr="00B814EF">
        <w:rPr>
          <w:color w:val="000000" w:themeColor="text1"/>
        </w:rPr>
        <w:t xml:space="preserve"> </w:t>
      </w:r>
      <w:proofErr w:type="spellStart"/>
      <w:r w:rsidRPr="00B814EF">
        <w:rPr>
          <w:color w:val="000000" w:themeColor="text1"/>
        </w:rPr>
        <w:t>und</w:t>
      </w:r>
      <w:proofErr w:type="spellEnd"/>
      <w:r w:rsidRPr="00B814EF">
        <w:rPr>
          <w:color w:val="000000" w:themeColor="text1"/>
        </w:rPr>
        <w:t xml:space="preserve"> </w:t>
      </w:r>
      <w:proofErr w:type="spellStart"/>
      <w:r w:rsidRPr="00B814EF">
        <w:rPr>
          <w:color w:val="000000" w:themeColor="text1"/>
        </w:rPr>
        <w:t>im</w:t>
      </w:r>
      <w:proofErr w:type="spellEnd"/>
      <w:r w:rsidRPr="00B814EF">
        <w:rPr>
          <w:color w:val="000000" w:themeColor="text1"/>
        </w:rPr>
        <w:t xml:space="preserve"> </w:t>
      </w:r>
      <w:proofErr w:type="spellStart"/>
      <w:r w:rsidRPr="00B814EF">
        <w:rPr>
          <w:color w:val="000000" w:themeColor="text1"/>
        </w:rPr>
        <w:t>länderübergreifenden</w:t>
      </w:r>
      <w:proofErr w:type="spellEnd"/>
      <w:r w:rsidRPr="00B814EF">
        <w:rPr>
          <w:color w:val="000000" w:themeColor="text1"/>
        </w:rPr>
        <w:t xml:space="preserve"> WHO-</w:t>
      </w:r>
      <w:proofErr w:type="spellStart"/>
      <w:r w:rsidRPr="00B814EF">
        <w:rPr>
          <w:color w:val="000000" w:themeColor="text1"/>
        </w:rPr>
        <w:t>Solidaritäts</w:t>
      </w:r>
      <w:proofErr w:type="spellEnd"/>
      <w:r w:rsidRPr="00B814EF">
        <w:rPr>
          <w:color w:val="000000" w:themeColor="text1"/>
        </w:rPr>
        <w:t>-</w:t>
      </w:r>
      <w:proofErr w:type="spellStart"/>
      <w:r w:rsidRPr="00B814EF">
        <w:rPr>
          <w:color w:val="000000" w:themeColor="text1"/>
        </w:rPr>
        <w:t>Experiment</w:t>
      </w:r>
      <w:proofErr w:type="spellEnd"/>
      <w:r w:rsidRPr="00B814EF">
        <w:rPr>
          <w:color w:val="000000" w:themeColor="text1"/>
        </w:rPr>
        <w:t xml:space="preserve">, </w:t>
      </w:r>
      <w:proofErr w:type="spellStart"/>
      <w:r w:rsidRPr="00B814EF">
        <w:rPr>
          <w:color w:val="000000" w:themeColor="text1"/>
        </w:rPr>
        <w:t>mag</w:t>
      </w:r>
      <w:proofErr w:type="spellEnd"/>
      <w:r w:rsidRPr="00B814EF">
        <w:rPr>
          <w:color w:val="000000" w:themeColor="text1"/>
        </w:rPr>
        <w:t xml:space="preserve"> </w:t>
      </w:r>
      <w:proofErr w:type="spellStart"/>
      <w:r w:rsidRPr="00B814EF">
        <w:rPr>
          <w:color w:val="000000" w:themeColor="text1"/>
        </w:rPr>
        <w:t>toxisch</w:t>
      </w:r>
      <w:proofErr w:type="spellEnd"/>
      <w:r w:rsidRPr="00B814EF">
        <w:rPr>
          <w:color w:val="000000" w:themeColor="text1"/>
        </w:rPr>
        <w:t xml:space="preserve"> </w:t>
      </w:r>
      <w:proofErr w:type="spellStart"/>
      <w:r w:rsidRPr="00B814EF">
        <w:rPr>
          <w:color w:val="000000" w:themeColor="text1"/>
        </w:rPr>
        <w:t>oder</w:t>
      </w:r>
      <w:proofErr w:type="spellEnd"/>
      <w:r w:rsidRPr="00B814EF">
        <w:rPr>
          <w:color w:val="000000" w:themeColor="text1"/>
        </w:rPr>
        <w:t xml:space="preserve"> </w:t>
      </w:r>
      <w:proofErr w:type="spellStart"/>
      <w:r w:rsidRPr="00B814EF">
        <w:rPr>
          <w:color w:val="000000" w:themeColor="text1"/>
        </w:rPr>
        <w:t>sogar</w:t>
      </w:r>
      <w:proofErr w:type="spellEnd"/>
      <w:r w:rsidRPr="00B814EF">
        <w:rPr>
          <w:color w:val="000000" w:themeColor="text1"/>
        </w:rPr>
        <w:t xml:space="preserve"> </w:t>
      </w:r>
      <w:proofErr w:type="spellStart"/>
      <w:r w:rsidRPr="00B814EF">
        <w:rPr>
          <w:color w:val="000000" w:themeColor="text1"/>
        </w:rPr>
        <w:t>tödlich</w:t>
      </w:r>
      <w:proofErr w:type="spellEnd"/>
      <w:r w:rsidRPr="00B814EF">
        <w:rPr>
          <w:color w:val="000000" w:themeColor="text1"/>
        </w:rPr>
        <w:t xml:space="preserve"> </w:t>
      </w:r>
      <w:proofErr w:type="spellStart"/>
      <w:r w:rsidRPr="00B814EF">
        <w:rPr>
          <w:color w:val="000000" w:themeColor="text1"/>
        </w:rPr>
        <w:t>gewesen</w:t>
      </w:r>
      <w:proofErr w:type="spellEnd"/>
      <w:r w:rsidRPr="00B814EF">
        <w:rPr>
          <w:color w:val="000000" w:themeColor="text1"/>
        </w:rPr>
        <w:t xml:space="preserve"> sein. </w:t>
      </w:r>
      <w:proofErr w:type="spellStart"/>
      <w:r w:rsidRPr="00B814EF">
        <w:rPr>
          <w:color w:val="000000" w:themeColor="text1"/>
        </w:rPr>
        <w:t>Auf</w:t>
      </w:r>
      <w:proofErr w:type="spellEnd"/>
      <w:r w:rsidRPr="00B814EF">
        <w:rPr>
          <w:color w:val="000000" w:themeColor="text1"/>
        </w:rPr>
        <w:t xml:space="preserve"> </w:t>
      </w:r>
      <w:proofErr w:type="spellStart"/>
      <w:r w:rsidRPr="00B814EF">
        <w:rPr>
          <w:color w:val="000000" w:themeColor="text1"/>
        </w:rPr>
        <w:t>alle</w:t>
      </w:r>
      <w:proofErr w:type="spellEnd"/>
      <w:r w:rsidRPr="00B814EF">
        <w:rPr>
          <w:color w:val="000000" w:themeColor="text1"/>
        </w:rPr>
        <w:t xml:space="preserve"> </w:t>
      </w:r>
      <w:proofErr w:type="spellStart"/>
      <w:r w:rsidRPr="00B814EF">
        <w:rPr>
          <w:color w:val="000000" w:themeColor="text1"/>
        </w:rPr>
        <w:t>Fälle</w:t>
      </w:r>
      <w:proofErr w:type="spellEnd"/>
      <w:r w:rsidRPr="00B814EF">
        <w:rPr>
          <w:color w:val="000000" w:themeColor="text1"/>
        </w:rPr>
        <w:t xml:space="preserve"> </w:t>
      </w:r>
      <w:proofErr w:type="spellStart"/>
      <w:r w:rsidRPr="00B814EF">
        <w:rPr>
          <w:color w:val="000000" w:themeColor="text1"/>
        </w:rPr>
        <w:t>war</w:t>
      </w:r>
      <w:proofErr w:type="spellEnd"/>
      <w:r w:rsidRPr="00B814EF">
        <w:rPr>
          <w:color w:val="000000" w:themeColor="text1"/>
        </w:rPr>
        <w:t xml:space="preserve"> die </w:t>
      </w:r>
      <w:proofErr w:type="spellStart"/>
      <w:r w:rsidRPr="00B814EF">
        <w:rPr>
          <w:color w:val="000000" w:themeColor="text1"/>
        </w:rPr>
        <w:t>Dosierung</w:t>
      </w:r>
      <w:proofErr w:type="spellEnd"/>
      <w:r w:rsidRPr="00B814EF">
        <w:rPr>
          <w:color w:val="000000" w:themeColor="text1"/>
        </w:rPr>
        <w:t xml:space="preserve"> </w:t>
      </w:r>
      <w:proofErr w:type="spellStart"/>
      <w:r w:rsidRPr="00B814EF">
        <w:rPr>
          <w:color w:val="000000" w:themeColor="text1"/>
        </w:rPr>
        <w:t>höher</w:t>
      </w:r>
      <w:proofErr w:type="spellEnd"/>
      <w:r w:rsidRPr="00B814EF">
        <w:rPr>
          <w:color w:val="000000" w:themeColor="text1"/>
        </w:rPr>
        <w:t xml:space="preserve"> </w:t>
      </w:r>
      <w:proofErr w:type="spellStart"/>
      <w:r w:rsidRPr="00B814EF">
        <w:rPr>
          <w:color w:val="000000" w:themeColor="text1"/>
        </w:rPr>
        <w:t>als</w:t>
      </w:r>
      <w:proofErr w:type="spellEnd"/>
      <w:r w:rsidRPr="00B814EF">
        <w:rPr>
          <w:color w:val="000000" w:themeColor="text1"/>
        </w:rPr>
        <w:t xml:space="preserve"> die </w:t>
      </w:r>
      <w:proofErr w:type="spellStart"/>
      <w:r w:rsidRPr="00B814EF">
        <w:rPr>
          <w:color w:val="000000" w:themeColor="text1"/>
        </w:rPr>
        <w:t>Empfehlung</w:t>
      </w:r>
      <w:proofErr w:type="spellEnd"/>
      <w:r w:rsidRPr="00B814EF">
        <w:rPr>
          <w:color w:val="000000" w:themeColor="text1"/>
        </w:rPr>
        <w:t xml:space="preserve"> </w:t>
      </w:r>
      <w:proofErr w:type="spellStart"/>
      <w:r w:rsidRPr="00B814EF">
        <w:rPr>
          <w:color w:val="000000" w:themeColor="text1"/>
        </w:rPr>
        <w:t>für</w:t>
      </w:r>
      <w:proofErr w:type="spellEnd"/>
      <w:r w:rsidRPr="00B814EF">
        <w:rPr>
          <w:color w:val="000000" w:themeColor="text1"/>
        </w:rPr>
        <w:t xml:space="preserve"> </w:t>
      </w:r>
      <w:proofErr w:type="spellStart"/>
      <w:r w:rsidRPr="00B814EF">
        <w:rPr>
          <w:color w:val="000000" w:themeColor="text1"/>
        </w:rPr>
        <w:t>jede</w:t>
      </w:r>
      <w:r>
        <w:rPr>
          <w:color w:val="000000" w:themeColor="text1"/>
        </w:rPr>
        <w:t>n</w:t>
      </w:r>
      <w:proofErr w:type="spellEnd"/>
      <w:r w:rsidRPr="00B814EF">
        <w:rPr>
          <w:color w:val="000000" w:themeColor="text1"/>
        </w:rPr>
        <w:t xml:space="preserve"> </w:t>
      </w:r>
      <w:proofErr w:type="spellStart"/>
      <w:r w:rsidRPr="00B814EF">
        <w:rPr>
          <w:color w:val="000000" w:themeColor="text1"/>
        </w:rPr>
        <w:t>denkbaren</w:t>
      </w:r>
      <w:proofErr w:type="spellEnd"/>
      <w:r w:rsidRPr="00B814EF">
        <w:rPr>
          <w:color w:val="000000" w:themeColor="text1"/>
        </w:rPr>
        <w:t xml:space="preserve"> </w:t>
      </w:r>
      <w:proofErr w:type="spellStart"/>
      <w:r w:rsidRPr="00B814EF">
        <w:rPr>
          <w:color w:val="000000" w:themeColor="text1"/>
        </w:rPr>
        <w:t>Gesundheitszustand</w:t>
      </w:r>
      <w:proofErr w:type="spellEnd"/>
      <w:r w:rsidRPr="00B814EF">
        <w:rPr>
          <w:color w:val="000000" w:themeColor="text1"/>
        </w:rPr>
        <w:t xml:space="preserve">. Die </w:t>
      </w:r>
      <w:proofErr w:type="spellStart"/>
      <w:r w:rsidRPr="00B814EF">
        <w:rPr>
          <w:color w:val="000000" w:themeColor="text1"/>
        </w:rPr>
        <w:t>kumulierte</w:t>
      </w:r>
      <w:proofErr w:type="spellEnd"/>
      <w:r w:rsidRPr="00B814EF">
        <w:rPr>
          <w:color w:val="000000" w:themeColor="text1"/>
        </w:rPr>
        <w:t xml:space="preserve"> </w:t>
      </w:r>
      <w:proofErr w:type="spellStart"/>
      <w:r w:rsidRPr="00B814EF">
        <w:rPr>
          <w:color w:val="000000" w:themeColor="text1"/>
        </w:rPr>
        <w:t>Dosis</w:t>
      </w:r>
      <w:proofErr w:type="spellEnd"/>
      <w:r w:rsidRPr="00B814EF">
        <w:rPr>
          <w:color w:val="000000" w:themeColor="text1"/>
        </w:rPr>
        <w:t xml:space="preserve"> </w:t>
      </w:r>
      <w:proofErr w:type="spellStart"/>
      <w:r w:rsidRPr="00B814EF">
        <w:rPr>
          <w:color w:val="000000" w:themeColor="text1"/>
        </w:rPr>
        <w:t>dieses</w:t>
      </w:r>
      <w:proofErr w:type="spellEnd"/>
      <w:r w:rsidRPr="00B814EF">
        <w:rPr>
          <w:color w:val="000000" w:themeColor="text1"/>
        </w:rPr>
        <w:t xml:space="preserve"> </w:t>
      </w:r>
      <w:proofErr w:type="spellStart"/>
      <w:r w:rsidRPr="00B814EF">
        <w:rPr>
          <w:color w:val="000000" w:themeColor="text1"/>
        </w:rPr>
        <w:t>anhaltend</w:t>
      </w:r>
      <w:proofErr w:type="spellEnd"/>
      <w:r w:rsidRPr="00B814EF">
        <w:rPr>
          <w:color w:val="000000" w:themeColor="text1"/>
        </w:rPr>
        <w:t xml:space="preserve"> </w:t>
      </w:r>
      <w:proofErr w:type="spellStart"/>
      <w:r w:rsidRPr="00B814EF">
        <w:rPr>
          <w:color w:val="000000" w:themeColor="text1"/>
        </w:rPr>
        <w:t>wirksamen</w:t>
      </w:r>
      <w:proofErr w:type="spellEnd"/>
      <w:r w:rsidRPr="00B814EF">
        <w:rPr>
          <w:color w:val="000000" w:themeColor="text1"/>
        </w:rPr>
        <w:t xml:space="preserve"> </w:t>
      </w:r>
      <w:proofErr w:type="spellStart"/>
      <w:r w:rsidRPr="00B814EF">
        <w:rPr>
          <w:color w:val="000000" w:themeColor="text1"/>
        </w:rPr>
        <w:t>Medikaments</w:t>
      </w:r>
      <w:proofErr w:type="spellEnd"/>
      <w:r w:rsidRPr="00B814EF">
        <w:rPr>
          <w:color w:val="000000" w:themeColor="text1"/>
        </w:rPr>
        <w:t xml:space="preserve"> </w:t>
      </w:r>
      <w:proofErr w:type="spellStart"/>
      <w:r w:rsidRPr="00B814EF">
        <w:rPr>
          <w:color w:val="000000" w:themeColor="text1"/>
        </w:rPr>
        <w:t>im</w:t>
      </w:r>
      <w:proofErr w:type="spellEnd"/>
      <w:proofErr w:type="gramStart"/>
      <w:r w:rsidRPr="00B814EF">
        <w:rPr>
          <w:color w:val="000000" w:themeColor="text1"/>
        </w:rPr>
        <w:t xml:space="preserve"> ‹</w:t>
      </w:r>
      <w:proofErr w:type="spellStart"/>
      <w:r w:rsidRPr="00B814EF">
        <w:rPr>
          <w:color w:val="000000" w:themeColor="text1"/>
        </w:rPr>
        <w:t>Recovery</w:t>
      </w:r>
      <w:proofErr w:type="spellEnd"/>
      <w:proofErr w:type="gramEnd"/>
      <w:r w:rsidRPr="00B814EF">
        <w:rPr>
          <w:color w:val="000000" w:themeColor="text1"/>
        </w:rPr>
        <w:t>›-</w:t>
      </w:r>
      <w:proofErr w:type="spellStart"/>
      <w:r w:rsidRPr="00B814EF">
        <w:rPr>
          <w:color w:val="000000" w:themeColor="text1"/>
        </w:rPr>
        <w:t>Experiment</w:t>
      </w:r>
      <w:proofErr w:type="spellEnd"/>
      <w:r w:rsidRPr="00B814EF">
        <w:rPr>
          <w:color w:val="000000" w:themeColor="text1"/>
        </w:rPr>
        <w:t xml:space="preserve"> (…) </w:t>
      </w:r>
      <w:proofErr w:type="spellStart"/>
      <w:r w:rsidRPr="00B814EF">
        <w:rPr>
          <w:color w:val="000000" w:themeColor="text1"/>
        </w:rPr>
        <w:t>war</w:t>
      </w:r>
      <w:proofErr w:type="spellEnd"/>
      <w:r w:rsidRPr="00B814EF">
        <w:rPr>
          <w:color w:val="000000" w:themeColor="text1"/>
        </w:rPr>
        <w:t xml:space="preserve"> </w:t>
      </w:r>
      <w:proofErr w:type="spellStart"/>
      <w:r w:rsidRPr="00B814EF">
        <w:rPr>
          <w:color w:val="000000" w:themeColor="text1"/>
        </w:rPr>
        <w:t>viermal</w:t>
      </w:r>
      <w:proofErr w:type="spellEnd"/>
      <w:r w:rsidRPr="00B814EF">
        <w:rPr>
          <w:color w:val="000000" w:themeColor="text1"/>
        </w:rPr>
        <w:t xml:space="preserve"> </w:t>
      </w:r>
      <w:proofErr w:type="spellStart"/>
      <w:r w:rsidRPr="00B814EF">
        <w:rPr>
          <w:color w:val="000000" w:themeColor="text1"/>
        </w:rPr>
        <w:t>so</w:t>
      </w:r>
      <w:proofErr w:type="spellEnd"/>
      <w:r w:rsidRPr="00B814EF">
        <w:rPr>
          <w:color w:val="000000" w:themeColor="text1"/>
        </w:rPr>
        <w:t xml:space="preserve"> </w:t>
      </w:r>
      <w:proofErr w:type="spellStart"/>
      <w:r w:rsidRPr="00B814EF">
        <w:rPr>
          <w:color w:val="000000" w:themeColor="text1"/>
        </w:rPr>
        <w:t>hoch</w:t>
      </w:r>
      <w:proofErr w:type="spellEnd"/>
      <w:r w:rsidRPr="00B814EF">
        <w:rPr>
          <w:color w:val="000000" w:themeColor="text1"/>
        </w:rPr>
        <w:t xml:space="preserve"> </w:t>
      </w:r>
      <w:proofErr w:type="spellStart"/>
      <w:r w:rsidRPr="00B814EF">
        <w:rPr>
          <w:color w:val="000000" w:themeColor="text1"/>
        </w:rPr>
        <w:t>wie</w:t>
      </w:r>
      <w:proofErr w:type="spellEnd"/>
      <w:r w:rsidRPr="00B814EF">
        <w:rPr>
          <w:color w:val="000000" w:themeColor="text1"/>
        </w:rPr>
        <w:t xml:space="preserve"> in Indien </w:t>
      </w:r>
      <w:proofErr w:type="spellStart"/>
      <w:r w:rsidRPr="00B814EF">
        <w:rPr>
          <w:color w:val="000000" w:themeColor="text1"/>
        </w:rPr>
        <w:t>üblich</w:t>
      </w:r>
      <w:proofErr w:type="spellEnd"/>
      <w:r w:rsidRPr="00B814EF">
        <w:rPr>
          <w:color w:val="000000" w:themeColor="text1"/>
        </w:rPr>
        <w:t>.»</w:t>
      </w:r>
    </w:p>
    <w:p w:rsidR="001C5D84" w:rsidRPr="008731A9" w:rsidRDefault="001C5D84" w:rsidP="001C5D84">
      <w:pPr>
        <w:pStyle w:val="Funotentext"/>
        <w:rPr>
          <w:lang w:val="de-CH"/>
        </w:rPr>
      </w:pPr>
    </w:p>
  </w:footnote>
  <w:footnote w:id="5">
    <w:p w:rsidR="001C5D84" w:rsidRPr="00C5719D" w:rsidRDefault="001C5D84" w:rsidP="001C5D84">
      <w:pPr>
        <w:pStyle w:val="Literaturverzeichnis"/>
        <w:rPr>
          <w:sz w:val="20"/>
          <w:szCs w:val="20"/>
        </w:rPr>
      </w:pPr>
      <w:r>
        <w:rPr>
          <w:rStyle w:val="Funotenzeichen"/>
        </w:rPr>
        <w:footnoteRef/>
      </w:r>
      <w:r>
        <w:t xml:space="preserve"> </w:t>
      </w:r>
      <w:proofErr w:type="spellStart"/>
      <w:r w:rsidRPr="00C5719D">
        <w:rPr>
          <w:sz w:val="20"/>
          <w:szCs w:val="20"/>
        </w:rPr>
        <w:t>Gorji</w:t>
      </w:r>
      <w:proofErr w:type="spellEnd"/>
      <w:r w:rsidRPr="00C5719D">
        <w:rPr>
          <w:sz w:val="20"/>
          <w:szCs w:val="20"/>
        </w:rPr>
        <w:t xml:space="preserve"> Hossein, Stauffer Noé, </w:t>
      </w:r>
      <w:proofErr w:type="spellStart"/>
      <w:r w:rsidRPr="00C5719D">
        <w:rPr>
          <w:sz w:val="20"/>
          <w:szCs w:val="20"/>
        </w:rPr>
        <w:t>Lunati</w:t>
      </w:r>
      <w:proofErr w:type="spellEnd"/>
      <w:r w:rsidRPr="00C5719D">
        <w:rPr>
          <w:sz w:val="20"/>
          <w:szCs w:val="20"/>
        </w:rPr>
        <w:t xml:space="preserve"> Ivan, </w:t>
      </w:r>
      <w:proofErr w:type="spellStart"/>
      <w:r w:rsidRPr="00C5719D">
        <w:rPr>
          <w:sz w:val="20"/>
          <w:szCs w:val="20"/>
        </w:rPr>
        <w:t>Caduff</w:t>
      </w:r>
      <w:proofErr w:type="spellEnd"/>
      <w:r w:rsidRPr="00C5719D">
        <w:rPr>
          <w:sz w:val="20"/>
          <w:szCs w:val="20"/>
        </w:rPr>
        <w:t xml:space="preserve"> Alexa, </w:t>
      </w:r>
      <w:proofErr w:type="spellStart"/>
      <w:r w:rsidRPr="00C5719D">
        <w:rPr>
          <w:sz w:val="20"/>
          <w:szCs w:val="20"/>
        </w:rPr>
        <w:t>Bühler</w:t>
      </w:r>
      <w:proofErr w:type="spellEnd"/>
      <w:r w:rsidRPr="00C5719D">
        <w:rPr>
          <w:sz w:val="20"/>
          <w:szCs w:val="20"/>
        </w:rPr>
        <w:t xml:space="preserve"> Martin, Engel </w:t>
      </w:r>
      <w:proofErr w:type="spellStart"/>
      <w:r w:rsidRPr="00C5719D">
        <w:rPr>
          <w:sz w:val="20"/>
          <w:szCs w:val="20"/>
        </w:rPr>
        <w:t>Doortje</w:t>
      </w:r>
      <w:proofErr w:type="spellEnd"/>
      <w:r w:rsidRPr="00C5719D">
        <w:rPr>
          <w:sz w:val="20"/>
          <w:szCs w:val="20"/>
        </w:rPr>
        <w:t xml:space="preserve">, Chung Ho Ryun, Loukas </w:t>
      </w:r>
      <w:proofErr w:type="spellStart"/>
      <w:r w:rsidRPr="00C5719D">
        <w:rPr>
          <w:sz w:val="20"/>
          <w:szCs w:val="20"/>
        </w:rPr>
        <w:t>Orestis</w:t>
      </w:r>
      <w:proofErr w:type="spellEnd"/>
      <w:r w:rsidRPr="00C5719D">
        <w:rPr>
          <w:sz w:val="20"/>
          <w:szCs w:val="20"/>
        </w:rPr>
        <w:t>, Feig Sabine, Renz Harald. 2023. Projection of healthcare demand in Germany and Switzerland urged by Omicron wave (January–March 2022), in: Epidemics Vol. 43; https://doi.org/10.1016/j.epidem.2023.100680</w:t>
      </w:r>
      <w:r w:rsidRPr="00C5719D">
        <w:rPr>
          <w:sz w:val="20"/>
          <w:szCs w:val="20"/>
        </w:rPr>
        <w:br/>
      </w:r>
      <w:proofErr w:type="spellStart"/>
      <w:r w:rsidRPr="00C5719D">
        <w:rPr>
          <w:sz w:val="20"/>
          <w:szCs w:val="20"/>
        </w:rPr>
        <w:t>Erstveröffentlichung</w:t>
      </w:r>
      <w:proofErr w:type="spellEnd"/>
      <w:r w:rsidRPr="00C5719D">
        <w:rPr>
          <w:sz w:val="20"/>
          <w:szCs w:val="20"/>
        </w:rPr>
        <w:t xml:space="preserve"> auf </w:t>
      </w:r>
      <w:proofErr w:type="spellStart"/>
      <w:r w:rsidRPr="00C5719D">
        <w:rPr>
          <w:sz w:val="20"/>
          <w:szCs w:val="20"/>
        </w:rPr>
        <w:t>MedRxiv</w:t>
      </w:r>
      <w:proofErr w:type="spellEnd"/>
      <w:r w:rsidRPr="00C5719D">
        <w:rPr>
          <w:sz w:val="20"/>
          <w:szCs w:val="20"/>
        </w:rPr>
        <w:t xml:space="preserve">, 25. </w:t>
      </w:r>
      <w:proofErr w:type="spellStart"/>
      <w:r w:rsidRPr="00C5719D">
        <w:rPr>
          <w:sz w:val="20"/>
          <w:szCs w:val="20"/>
        </w:rPr>
        <w:t>Januar</w:t>
      </w:r>
      <w:proofErr w:type="spellEnd"/>
      <w:r w:rsidRPr="00C5719D">
        <w:rPr>
          <w:sz w:val="20"/>
          <w:szCs w:val="20"/>
        </w:rPr>
        <w:t xml:space="preserve"> 2022. https://doi.org/10.1101/2022.01.24.22269676</w:t>
      </w:r>
    </w:p>
  </w:footnote>
  <w:footnote w:id="6">
    <w:p w:rsidR="001C5D84" w:rsidRDefault="001C5D84" w:rsidP="001C5D84">
      <w:pPr>
        <w:pStyle w:val="Literaturverzeichnis"/>
        <w:rPr>
          <w:sz w:val="20"/>
          <w:szCs w:val="20"/>
        </w:rPr>
      </w:pPr>
      <w:r>
        <w:rPr>
          <w:rStyle w:val="Funotenzeichen"/>
        </w:rPr>
        <w:footnoteRef/>
      </w:r>
      <w:r>
        <w:t xml:space="preserve"> </w:t>
      </w:r>
      <w:proofErr w:type="spellStart"/>
      <w:r w:rsidRPr="00E37F35">
        <w:rPr>
          <w:sz w:val="20"/>
          <w:szCs w:val="20"/>
          <w:lang w:val="fr-CH"/>
        </w:rPr>
        <w:t>Shimabukuro</w:t>
      </w:r>
      <w:proofErr w:type="spellEnd"/>
      <w:r w:rsidRPr="00E37F35">
        <w:rPr>
          <w:sz w:val="20"/>
          <w:szCs w:val="20"/>
          <w:lang w:val="fr-CH"/>
        </w:rPr>
        <w:t xml:space="preserve"> Tom T. et al. 2021. </w:t>
      </w:r>
      <w:r w:rsidRPr="00E37F35">
        <w:rPr>
          <w:sz w:val="20"/>
          <w:szCs w:val="20"/>
        </w:rPr>
        <w:t xml:space="preserve">Preliminary Findings of mRNA Covid-19 Vaccine Safety in Pregnant Persons, </w:t>
      </w:r>
      <w:proofErr w:type="gramStart"/>
      <w:r w:rsidRPr="00E37F35">
        <w:rPr>
          <w:sz w:val="20"/>
          <w:szCs w:val="20"/>
        </w:rPr>
        <w:t>in:</w:t>
      </w:r>
      <w:proofErr w:type="gramEnd"/>
      <w:r w:rsidRPr="00E37F35">
        <w:rPr>
          <w:sz w:val="20"/>
          <w:szCs w:val="20"/>
        </w:rPr>
        <w:t xml:space="preserve"> NEJM, 384/24, New published online 21.4.2021</w:t>
      </w:r>
    </w:p>
    <w:p w:rsidR="001C5D84" w:rsidRPr="00E37F35" w:rsidRDefault="001C5D84" w:rsidP="001C5D84">
      <w:pPr>
        <w:pStyle w:val="Funotentext"/>
        <w:rPr>
          <w:lang w:val="de-CH"/>
        </w:rPr>
      </w:pPr>
    </w:p>
  </w:footnote>
  <w:footnote w:id="7">
    <w:p w:rsidR="001C5D84" w:rsidRPr="00F467B6" w:rsidRDefault="001C5D84" w:rsidP="001C5D84">
      <w:pPr>
        <w:pStyle w:val="Funotentext"/>
        <w:rPr>
          <w:lang w:val="de-CH"/>
        </w:rPr>
      </w:pPr>
      <w:r>
        <w:rPr>
          <w:rStyle w:val="Funotenzeichen"/>
        </w:rPr>
        <w:footnoteRef/>
      </w:r>
      <w:r>
        <w:t xml:space="preserve"> </w:t>
      </w:r>
      <w:r>
        <w:rPr>
          <w:lang w:val="de-CH"/>
        </w:rPr>
        <w:t xml:space="preserve">Einen Überblick liefert: </w:t>
      </w:r>
      <w:proofErr w:type="spellStart"/>
      <w:r>
        <w:rPr>
          <w:lang w:val="de-CH"/>
        </w:rPr>
        <w:t>Thoene</w:t>
      </w:r>
      <w:proofErr w:type="spellEnd"/>
      <w:r>
        <w:rPr>
          <w:lang w:val="de-CH"/>
        </w:rPr>
        <w:t xml:space="preserve"> M. A. 2024. </w:t>
      </w:r>
      <w:proofErr w:type="spellStart"/>
      <w:r w:rsidRPr="00F467B6">
        <w:rPr>
          <w:lang w:val="de-CH"/>
        </w:rPr>
        <w:t>Changing</w:t>
      </w:r>
      <w:proofErr w:type="spellEnd"/>
      <w:r w:rsidRPr="00F467B6">
        <w:rPr>
          <w:lang w:val="de-CH"/>
        </w:rPr>
        <w:t xml:space="preserve"> </w:t>
      </w:r>
      <w:proofErr w:type="spellStart"/>
      <w:r w:rsidRPr="00F467B6">
        <w:rPr>
          <w:lang w:val="de-CH"/>
        </w:rPr>
        <w:t>views</w:t>
      </w:r>
      <w:proofErr w:type="spellEnd"/>
      <w:r w:rsidRPr="00F467B6">
        <w:rPr>
          <w:lang w:val="de-CH"/>
        </w:rPr>
        <w:t xml:space="preserve"> </w:t>
      </w:r>
      <w:proofErr w:type="spellStart"/>
      <w:r w:rsidRPr="00F467B6">
        <w:rPr>
          <w:lang w:val="de-CH"/>
        </w:rPr>
        <w:t>toward</w:t>
      </w:r>
      <w:proofErr w:type="spellEnd"/>
      <w:r w:rsidRPr="00F467B6">
        <w:rPr>
          <w:lang w:val="de-CH"/>
        </w:rPr>
        <w:t xml:space="preserve"> mRNA </w:t>
      </w:r>
      <w:proofErr w:type="spellStart"/>
      <w:r w:rsidRPr="00F467B6">
        <w:rPr>
          <w:lang w:val="de-CH"/>
        </w:rPr>
        <w:t>based</w:t>
      </w:r>
      <w:proofErr w:type="spellEnd"/>
      <w:r w:rsidRPr="00F467B6">
        <w:rPr>
          <w:lang w:val="de-CH"/>
        </w:rPr>
        <w:t xml:space="preserve"> </w:t>
      </w:r>
      <w:proofErr w:type="spellStart"/>
      <w:r w:rsidRPr="00F467B6">
        <w:rPr>
          <w:lang w:val="de-CH"/>
        </w:rPr>
        <w:t>covid</w:t>
      </w:r>
      <w:proofErr w:type="spellEnd"/>
      <w:r w:rsidRPr="00F467B6">
        <w:rPr>
          <w:lang w:val="de-CH"/>
        </w:rPr>
        <w:t xml:space="preserve"> </w:t>
      </w:r>
      <w:proofErr w:type="spellStart"/>
      <w:r w:rsidRPr="00F467B6">
        <w:rPr>
          <w:lang w:val="de-CH"/>
        </w:rPr>
        <w:t>vaccines</w:t>
      </w:r>
      <w:proofErr w:type="spellEnd"/>
    </w:p>
    <w:p w:rsidR="001C5D84" w:rsidRPr="00F467B6" w:rsidRDefault="001C5D84" w:rsidP="001C5D84">
      <w:pPr>
        <w:pStyle w:val="Funotentext"/>
        <w:rPr>
          <w:lang w:val="de-CH"/>
        </w:rPr>
      </w:pPr>
      <w:r w:rsidRPr="00F467B6">
        <w:rPr>
          <w:lang w:val="de-CH"/>
        </w:rPr>
        <w:t xml:space="preserve">in </w:t>
      </w:r>
      <w:proofErr w:type="spellStart"/>
      <w:r w:rsidRPr="00F467B6">
        <w:rPr>
          <w:lang w:val="de-CH"/>
        </w:rPr>
        <w:t>the</w:t>
      </w:r>
      <w:proofErr w:type="spellEnd"/>
      <w:r w:rsidRPr="00F467B6">
        <w:rPr>
          <w:lang w:val="de-CH"/>
        </w:rPr>
        <w:t xml:space="preserve"> </w:t>
      </w:r>
      <w:proofErr w:type="spellStart"/>
      <w:r w:rsidRPr="00F467B6">
        <w:rPr>
          <w:lang w:val="de-CH"/>
        </w:rPr>
        <w:t>scientific</w:t>
      </w:r>
      <w:proofErr w:type="spellEnd"/>
      <w:r w:rsidRPr="00F467B6">
        <w:rPr>
          <w:lang w:val="de-CH"/>
        </w:rPr>
        <w:t xml:space="preserve"> </w:t>
      </w:r>
      <w:proofErr w:type="spellStart"/>
      <w:r w:rsidRPr="00F467B6">
        <w:rPr>
          <w:lang w:val="de-CH"/>
        </w:rPr>
        <w:t>literature</w:t>
      </w:r>
      <w:proofErr w:type="spellEnd"/>
      <w:r w:rsidRPr="00F467B6">
        <w:rPr>
          <w:lang w:val="de-CH"/>
        </w:rPr>
        <w:t>: 2020–2024</w:t>
      </w:r>
      <w:r>
        <w:rPr>
          <w:lang w:val="de-CH"/>
        </w:rPr>
        <w:t xml:space="preserve">. </w:t>
      </w:r>
      <w:r w:rsidRPr="00F467B6">
        <w:rPr>
          <w:lang w:val="de-CH"/>
        </w:rPr>
        <w:t>Pol Ann Med. 2024;31(2):152–157</w:t>
      </w:r>
      <w:r>
        <w:rPr>
          <w:lang w:val="de-CH"/>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8906C9"/>
    <w:multiLevelType w:val="hybridMultilevel"/>
    <w:tmpl w:val="1FCAE4A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599F71F6"/>
    <w:multiLevelType w:val="hybridMultilevel"/>
    <w:tmpl w:val="42623B62"/>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6A9B7F59"/>
    <w:multiLevelType w:val="hybridMultilevel"/>
    <w:tmpl w:val="2B0001B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6E661A6B"/>
    <w:multiLevelType w:val="hybridMultilevel"/>
    <w:tmpl w:val="87D47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43621410">
    <w:abstractNumId w:val="2"/>
  </w:num>
  <w:num w:numId="2" w16cid:durableId="38743628">
    <w:abstractNumId w:val="0"/>
  </w:num>
  <w:num w:numId="3" w16cid:durableId="67927417">
    <w:abstractNumId w:val="3"/>
  </w:num>
  <w:num w:numId="4" w16cid:durableId="599802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8"/>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77E"/>
    <w:rsid w:val="0004659A"/>
    <w:rsid w:val="00055FFA"/>
    <w:rsid w:val="0008477E"/>
    <w:rsid w:val="00100252"/>
    <w:rsid w:val="00100BF1"/>
    <w:rsid w:val="001633E8"/>
    <w:rsid w:val="0016740B"/>
    <w:rsid w:val="0019192D"/>
    <w:rsid w:val="00197B23"/>
    <w:rsid w:val="001C5D84"/>
    <w:rsid w:val="001E25E0"/>
    <w:rsid w:val="00210CCA"/>
    <w:rsid w:val="00220754"/>
    <w:rsid w:val="002F1222"/>
    <w:rsid w:val="003229BA"/>
    <w:rsid w:val="003B3EAD"/>
    <w:rsid w:val="003C14A2"/>
    <w:rsid w:val="004505FA"/>
    <w:rsid w:val="00454418"/>
    <w:rsid w:val="00470330"/>
    <w:rsid w:val="004D71D2"/>
    <w:rsid w:val="004F0E90"/>
    <w:rsid w:val="00506240"/>
    <w:rsid w:val="00511808"/>
    <w:rsid w:val="005212AF"/>
    <w:rsid w:val="00624D18"/>
    <w:rsid w:val="00670C92"/>
    <w:rsid w:val="00672ECA"/>
    <w:rsid w:val="006A772C"/>
    <w:rsid w:val="006B2B3B"/>
    <w:rsid w:val="00721208"/>
    <w:rsid w:val="0072148F"/>
    <w:rsid w:val="007A3D16"/>
    <w:rsid w:val="007C7CF8"/>
    <w:rsid w:val="008048EB"/>
    <w:rsid w:val="0083519A"/>
    <w:rsid w:val="008556FF"/>
    <w:rsid w:val="00873AF2"/>
    <w:rsid w:val="008B3C2C"/>
    <w:rsid w:val="008D0787"/>
    <w:rsid w:val="008E37A5"/>
    <w:rsid w:val="008F73A1"/>
    <w:rsid w:val="0090483B"/>
    <w:rsid w:val="00937941"/>
    <w:rsid w:val="00940B18"/>
    <w:rsid w:val="00976698"/>
    <w:rsid w:val="009A409D"/>
    <w:rsid w:val="009B1524"/>
    <w:rsid w:val="00AA1FEA"/>
    <w:rsid w:val="00AF61DC"/>
    <w:rsid w:val="00B877EC"/>
    <w:rsid w:val="00B97E12"/>
    <w:rsid w:val="00BA241E"/>
    <w:rsid w:val="00BE7255"/>
    <w:rsid w:val="00C01975"/>
    <w:rsid w:val="00C47FEA"/>
    <w:rsid w:val="00CB15C0"/>
    <w:rsid w:val="00CE0CD3"/>
    <w:rsid w:val="00D04EAD"/>
    <w:rsid w:val="00D11D55"/>
    <w:rsid w:val="00D1409E"/>
    <w:rsid w:val="00D54820"/>
    <w:rsid w:val="00DB1BA8"/>
    <w:rsid w:val="00DD0E7D"/>
    <w:rsid w:val="00DE1C85"/>
    <w:rsid w:val="00E1063D"/>
    <w:rsid w:val="00E26DE8"/>
    <w:rsid w:val="00E66FDA"/>
    <w:rsid w:val="00E72BF3"/>
    <w:rsid w:val="00E828A0"/>
    <w:rsid w:val="00E84F26"/>
    <w:rsid w:val="00F05854"/>
    <w:rsid w:val="00F21132"/>
    <w:rsid w:val="00F31576"/>
    <w:rsid w:val="00F87252"/>
    <w:rsid w:val="00F9099C"/>
    <w:rsid w:val="00FC1E6B"/>
    <w:rsid w:val="00FC285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EA739E6"/>
  <w15:chartTrackingRefBased/>
  <w15:docId w15:val="{C953BC90-0DD0-F144-8C40-DC0D5216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8477E"/>
    <w:rPr>
      <w:color w:val="0563C1" w:themeColor="hyperlink"/>
      <w:u w:val="single"/>
    </w:rPr>
  </w:style>
  <w:style w:type="character" w:styleId="NichtaufgelsteErwhnung">
    <w:name w:val="Unresolved Mention"/>
    <w:basedOn w:val="Absatz-Standardschriftart"/>
    <w:uiPriority w:val="99"/>
    <w:semiHidden/>
    <w:unhideWhenUsed/>
    <w:rsid w:val="0008477E"/>
    <w:rPr>
      <w:color w:val="605E5C"/>
      <w:shd w:val="clear" w:color="auto" w:fill="E1DFDD"/>
    </w:rPr>
  </w:style>
  <w:style w:type="paragraph" w:styleId="Listenabsatz">
    <w:name w:val="List Paragraph"/>
    <w:basedOn w:val="Standard"/>
    <w:uiPriority w:val="34"/>
    <w:qFormat/>
    <w:rsid w:val="008D0787"/>
    <w:pPr>
      <w:ind w:left="720"/>
      <w:contextualSpacing/>
    </w:pPr>
  </w:style>
  <w:style w:type="paragraph" w:styleId="Funotentext">
    <w:name w:val="footnote text"/>
    <w:basedOn w:val="Standard"/>
    <w:link w:val="FunotentextZchn"/>
    <w:uiPriority w:val="99"/>
    <w:unhideWhenUsed/>
    <w:rsid w:val="00DB1BA8"/>
    <w:rPr>
      <w:kern w:val="2"/>
      <w:sz w:val="20"/>
      <w:szCs w:val="20"/>
      <w:lang w:val="fr-CH"/>
      <w14:ligatures w14:val="standardContextual"/>
    </w:rPr>
  </w:style>
  <w:style w:type="character" w:customStyle="1" w:styleId="FunotentextZchn">
    <w:name w:val="Fußnotentext Zchn"/>
    <w:basedOn w:val="Absatz-Standardschriftart"/>
    <w:link w:val="Funotentext"/>
    <w:uiPriority w:val="99"/>
    <w:rsid w:val="00DB1BA8"/>
    <w:rPr>
      <w:kern w:val="2"/>
      <w:sz w:val="20"/>
      <w:szCs w:val="20"/>
      <w:lang w:val="fr-CH"/>
      <w14:ligatures w14:val="standardContextual"/>
    </w:rPr>
  </w:style>
  <w:style w:type="character" w:styleId="Funotenzeichen">
    <w:name w:val="footnote reference"/>
    <w:basedOn w:val="Absatz-Standardschriftart"/>
    <w:uiPriority w:val="99"/>
    <w:semiHidden/>
    <w:unhideWhenUsed/>
    <w:rsid w:val="00DB1BA8"/>
    <w:rPr>
      <w:vertAlign w:val="superscript"/>
    </w:rPr>
  </w:style>
  <w:style w:type="paragraph" w:styleId="Kopfzeile">
    <w:name w:val="header"/>
    <w:basedOn w:val="Standard"/>
    <w:link w:val="KopfzeileZchn"/>
    <w:uiPriority w:val="99"/>
    <w:unhideWhenUsed/>
    <w:rsid w:val="00937941"/>
    <w:pPr>
      <w:tabs>
        <w:tab w:val="center" w:pos="4536"/>
        <w:tab w:val="right" w:pos="9072"/>
      </w:tabs>
    </w:pPr>
  </w:style>
  <w:style w:type="character" w:customStyle="1" w:styleId="KopfzeileZchn">
    <w:name w:val="Kopfzeile Zchn"/>
    <w:basedOn w:val="Absatz-Standardschriftart"/>
    <w:link w:val="Kopfzeile"/>
    <w:uiPriority w:val="99"/>
    <w:rsid w:val="00937941"/>
  </w:style>
  <w:style w:type="paragraph" w:styleId="Fuzeile">
    <w:name w:val="footer"/>
    <w:basedOn w:val="Standard"/>
    <w:link w:val="FuzeileZchn"/>
    <w:uiPriority w:val="99"/>
    <w:unhideWhenUsed/>
    <w:rsid w:val="00937941"/>
    <w:pPr>
      <w:tabs>
        <w:tab w:val="center" w:pos="4536"/>
        <w:tab w:val="right" w:pos="9072"/>
      </w:tabs>
    </w:pPr>
  </w:style>
  <w:style w:type="character" w:customStyle="1" w:styleId="FuzeileZchn">
    <w:name w:val="Fußzeile Zchn"/>
    <w:basedOn w:val="Absatz-Standardschriftart"/>
    <w:link w:val="Fuzeile"/>
    <w:uiPriority w:val="99"/>
    <w:rsid w:val="00937941"/>
  </w:style>
  <w:style w:type="character" w:styleId="Seitenzahl">
    <w:name w:val="page number"/>
    <w:basedOn w:val="Absatz-Standardschriftart"/>
    <w:uiPriority w:val="99"/>
    <w:semiHidden/>
    <w:unhideWhenUsed/>
    <w:rsid w:val="00937941"/>
  </w:style>
  <w:style w:type="character" w:styleId="BesuchterLink">
    <w:name w:val="FollowedHyperlink"/>
    <w:basedOn w:val="Absatz-Standardschriftart"/>
    <w:uiPriority w:val="99"/>
    <w:semiHidden/>
    <w:unhideWhenUsed/>
    <w:rsid w:val="0072148F"/>
    <w:rPr>
      <w:color w:val="954F72" w:themeColor="followedHyperlink"/>
      <w:u w:val="single"/>
    </w:rPr>
  </w:style>
  <w:style w:type="paragraph" w:styleId="Literaturverzeichnis">
    <w:name w:val="Bibliography"/>
    <w:basedOn w:val="Standard"/>
    <w:next w:val="Standard"/>
    <w:uiPriority w:val="37"/>
    <w:unhideWhenUsed/>
    <w:rsid w:val="001C5D84"/>
    <w:pPr>
      <w:spacing w:after="160" w:line="259" w:lineRule="auto"/>
    </w:pPr>
    <w:rPr>
      <w:kern w:val="2"/>
      <w:sz w:val="22"/>
      <w:szCs w:val="2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ernehmlassungIGV@bag.admin.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shop.edubook.ch/de-ch/edubook_shop/edu.articlebrandid.719/beckwhocares0124-va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636</Words>
  <Characters>4014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Staubli</dc:creator>
  <cp:keywords/>
  <dc:description/>
  <cp:lastModifiedBy>Andrea Staubli</cp:lastModifiedBy>
  <cp:revision>3</cp:revision>
  <cp:lastPrinted>2024-12-05T21:53:00Z</cp:lastPrinted>
  <dcterms:created xsi:type="dcterms:W3CDTF">2024-12-05T21:36:00Z</dcterms:created>
  <dcterms:modified xsi:type="dcterms:W3CDTF">2024-12-05T22:02:00Z</dcterms:modified>
</cp:coreProperties>
</file>