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D036" w14:textId="77777777" w:rsidR="00A41691" w:rsidRDefault="00000000">
      <w:r>
        <w:rPr>
          <w:color w:val="888888"/>
        </w:rPr>
        <w:t>[Name / Organisation]</w:t>
      </w:r>
    </w:p>
    <w:p w14:paraId="2A98B42F" w14:textId="77777777" w:rsidR="00A41691" w:rsidRDefault="00000000">
      <w:r>
        <w:rPr>
          <w:color w:val="888888"/>
        </w:rPr>
        <w:t>[Adresse]</w:t>
      </w:r>
    </w:p>
    <w:p w14:paraId="3F453F9F" w14:textId="77777777" w:rsidR="00A41691" w:rsidRDefault="00000000">
      <w:r>
        <w:rPr>
          <w:color w:val="888888"/>
        </w:rPr>
        <w:t>[</w:t>
      </w:r>
      <w:proofErr w:type="gramStart"/>
      <w:r>
        <w:rPr>
          <w:color w:val="888888"/>
        </w:rPr>
        <w:t>PLZ Ort</w:t>
      </w:r>
      <w:proofErr w:type="gramEnd"/>
      <w:r>
        <w:rPr>
          <w:color w:val="888888"/>
        </w:rPr>
        <w:t>]</w:t>
      </w:r>
    </w:p>
    <w:p w14:paraId="5EA69AB7" w14:textId="77777777" w:rsidR="00A41691" w:rsidRDefault="00A41691"/>
    <w:p w14:paraId="388A4429" w14:textId="77777777" w:rsidR="00A41691" w:rsidRDefault="00A41691"/>
    <w:p w14:paraId="2B659F07" w14:textId="77777777" w:rsidR="00A41691" w:rsidRDefault="00000000">
      <w:r>
        <w:t>Kanton Schaffhausen</w:t>
      </w:r>
    </w:p>
    <w:p w14:paraId="7492A9FB" w14:textId="77777777" w:rsidR="00A41691" w:rsidRDefault="00000000">
      <w:r>
        <w:t>Gesundheitsamt</w:t>
      </w:r>
    </w:p>
    <w:p w14:paraId="398FE53D" w14:textId="77777777" w:rsidR="00A41691" w:rsidRDefault="00000000">
      <w:r>
        <w:t>Mühlentalstrasse 105</w:t>
      </w:r>
    </w:p>
    <w:p w14:paraId="605A3418" w14:textId="77777777" w:rsidR="00A41691" w:rsidRDefault="00000000">
      <w:r>
        <w:t>8200 Schaffhausen</w:t>
      </w:r>
    </w:p>
    <w:p w14:paraId="7F8D5BE0" w14:textId="77777777" w:rsidR="00A41691" w:rsidRDefault="00A41691"/>
    <w:p w14:paraId="6D0A9470" w14:textId="77777777" w:rsidR="00A41691" w:rsidRDefault="00000000">
      <w:r>
        <w:rPr>
          <w:i/>
          <w:iCs/>
        </w:rPr>
        <w:t>Per E-Mail: sekretariat.ga@ktsh.ch</w:t>
      </w:r>
    </w:p>
    <w:p w14:paraId="49ED7477" w14:textId="77777777" w:rsidR="00A41691" w:rsidRDefault="00A41691"/>
    <w:p w14:paraId="3599C2BC" w14:textId="77777777" w:rsidR="00A41691" w:rsidRDefault="00A41691"/>
    <w:p w14:paraId="66D08767" w14:textId="77777777" w:rsidR="00A41691" w:rsidRDefault="00000000">
      <w:pPr>
        <w:jc w:val="right"/>
      </w:pPr>
      <w:r>
        <w:rPr>
          <w:color w:val="888888"/>
        </w:rPr>
        <w:t>[Ort], [Datum]</w:t>
      </w:r>
    </w:p>
    <w:p w14:paraId="68E763D7" w14:textId="77777777" w:rsidR="00A41691" w:rsidRDefault="00A41691"/>
    <w:p w14:paraId="0FEE1EC0" w14:textId="77777777" w:rsidR="00A41691" w:rsidRDefault="00A41691"/>
    <w:p w14:paraId="3D1E77F4" w14:textId="77777777" w:rsidR="00A41691" w:rsidRDefault="00000000">
      <w:r>
        <w:rPr>
          <w:b/>
          <w:bCs/>
          <w:sz w:val="24"/>
          <w:szCs w:val="24"/>
        </w:rPr>
        <w:t>Vernehmlassung zur Totalrevision des Gesundheitsgesetzes (</w:t>
      </w:r>
      <w:proofErr w:type="spellStart"/>
      <w:r>
        <w:rPr>
          <w:b/>
          <w:bCs/>
          <w:sz w:val="24"/>
          <w:szCs w:val="24"/>
        </w:rPr>
        <w:t>GesG</w:t>
      </w:r>
      <w:proofErr w:type="spellEnd"/>
      <w:r>
        <w:rPr>
          <w:b/>
          <w:bCs/>
          <w:sz w:val="24"/>
          <w:szCs w:val="24"/>
        </w:rPr>
        <w:t>)</w:t>
      </w:r>
    </w:p>
    <w:p w14:paraId="54EC9B10" w14:textId="77777777" w:rsidR="00A41691" w:rsidRDefault="00A41691"/>
    <w:p w14:paraId="1405A356" w14:textId="77777777" w:rsidR="00A41691" w:rsidRDefault="00A41691"/>
    <w:p w14:paraId="3757CAA6" w14:textId="77777777" w:rsidR="00A41691" w:rsidRDefault="00000000">
      <w:r>
        <w:t>Sehr geehrte Damen und Herren</w:t>
      </w:r>
    </w:p>
    <w:p w14:paraId="3E0602D2" w14:textId="77777777" w:rsidR="00A41691" w:rsidRDefault="00A41691"/>
    <w:p w14:paraId="07A6F4D4" w14:textId="77777777" w:rsidR="00A41691" w:rsidRDefault="00000000">
      <w:r>
        <w:t>Wir bedanken uns für die Möglichkeit, zum Entwurf des totalrevidierten Gesundheitsgesetzes Stellung zu nehmen. Nach eingehender Prüfung des Entwurfs äussern wir uns zu verschiedenen Artikeln kritisch und beantragen entsprechende Änderungen.</w:t>
      </w:r>
    </w:p>
    <w:p w14:paraId="43F6330A" w14:textId="77777777" w:rsidR="00872FB8" w:rsidRDefault="00872FB8"/>
    <w:p w14:paraId="3D975298" w14:textId="484E73A2" w:rsidR="00872FB8" w:rsidRDefault="00872FB8">
      <w:r>
        <w:t xml:space="preserve">Eine persönliche Vorbemerkung: </w:t>
      </w:r>
      <w:r w:rsidRPr="00872FB8">
        <w:rPr>
          <w:highlight w:val="yellow"/>
        </w:rPr>
        <w:t xml:space="preserve">… </w:t>
      </w:r>
      <w:r>
        <w:rPr>
          <w:highlight w:val="yellow"/>
        </w:rPr>
        <w:t xml:space="preserve">Bitte hier in Ihren eigenen Worten Ihre persönlichen Beweggründe darstellen </w:t>
      </w:r>
      <w:r w:rsidRPr="00872FB8">
        <w:rPr>
          <w:highlight w:val="yellow"/>
        </w:rPr>
        <w:t xml:space="preserve">(Weshalb verfassen Sie diese </w:t>
      </w:r>
      <w:proofErr w:type="spellStart"/>
      <w:r w:rsidRPr="00872FB8">
        <w:rPr>
          <w:highlight w:val="yellow"/>
        </w:rPr>
        <w:t>Vernehmlassungsantwort</w:t>
      </w:r>
      <w:proofErr w:type="spellEnd"/>
      <w:r w:rsidRPr="00872FB8">
        <w:rPr>
          <w:highlight w:val="yellow"/>
        </w:rPr>
        <w:t>? Weshalb ist Ihnen das wichtig? Womit sind Sie nicht einverstanden? Was stört Sie? Was ist Ihre Hoffnung an die politischen Behörden?</w:t>
      </w:r>
      <w:r>
        <w:rPr>
          <w:highlight w:val="yellow"/>
        </w:rPr>
        <w:t>)</w:t>
      </w:r>
      <w:r w:rsidRPr="00872FB8">
        <w:rPr>
          <w:highlight w:val="yellow"/>
        </w:rPr>
        <w:t xml:space="preserve"> …: Eine persönliche Note macht Ihre Eingabe glaubwürdiger.</w:t>
      </w:r>
    </w:p>
    <w:p w14:paraId="2B0B27E2" w14:textId="77777777" w:rsidR="00A41691" w:rsidRDefault="00A41691"/>
    <w:p w14:paraId="6605CBC9" w14:textId="77777777" w:rsidR="00A41691" w:rsidRDefault="00000000">
      <w:pPr>
        <w:pStyle w:val="berschrift1"/>
      </w:pPr>
      <w:r>
        <w:t>1. Zusammenfassung unserer Hauptkritikpunkte</w:t>
      </w:r>
    </w:p>
    <w:p w14:paraId="0767D130" w14:textId="77777777" w:rsidR="00A41691" w:rsidRDefault="00000000">
      <w:r>
        <w:t>Der vorliegende Entwurf enthält mehrere Bestimmungen, die aus unserer Sicht die persönliche Freiheit und die Selbstbestimmung der Bürgerinnen und Bürger unverhältnismässig einschränken:</w:t>
      </w:r>
    </w:p>
    <w:p w14:paraId="34D0D8E2" w14:textId="77777777" w:rsidR="00A41691" w:rsidRDefault="00A41691"/>
    <w:p w14:paraId="4B1D23A7" w14:textId="77777777" w:rsidR="00A41691" w:rsidRDefault="00000000">
      <w:pPr>
        <w:pStyle w:val="Listenabsatz"/>
        <w:numPr>
          <w:ilvl w:val="0"/>
          <w:numId w:val="2"/>
        </w:numPr>
      </w:pPr>
      <w:r>
        <w:rPr>
          <w:b/>
          <w:bCs/>
        </w:rPr>
        <w:t xml:space="preserve">Art. 3: </w:t>
      </w:r>
      <w:r>
        <w:t>Zu weitreichende Verordnungskompetenz des Regierungsrats</w:t>
      </w:r>
    </w:p>
    <w:p w14:paraId="37ED976F" w14:textId="77777777" w:rsidR="00A41691" w:rsidRDefault="00000000">
      <w:pPr>
        <w:pStyle w:val="Listenabsatz"/>
        <w:numPr>
          <w:ilvl w:val="0"/>
          <w:numId w:val="2"/>
        </w:numPr>
      </w:pPr>
      <w:r>
        <w:rPr>
          <w:b/>
          <w:bCs/>
        </w:rPr>
        <w:t xml:space="preserve">Art. 48: </w:t>
      </w:r>
      <w:proofErr w:type="spellStart"/>
      <w:r>
        <w:t>Impfobligatorium</w:t>
      </w:r>
      <w:proofErr w:type="spellEnd"/>
      <w:r>
        <w:t xml:space="preserve"> ohne ausreichende Schranken</w:t>
      </w:r>
    </w:p>
    <w:p w14:paraId="30D74807" w14:textId="77777777" w:rsidR="00A41691" w:rsidRDefault="00000000">
      <w:pPr>
        <w:pStyle w:val="Listenabsatz"/>
        <w:numPr>
          <w:ilvl w:val="0"/>
          <w:numId w:val="2"/>
        </w:numPr>
      </w:pPr>
      <w:r>
        <w:rPr>
          <w:b/>
          <w:bCs/>
        </w:rPr>
        <w:t xml:space="preserve">Art. 53: </w:t>
      </w:r>
      <w:r>
        <w:t>Schulärztlicher Dienst ohne Klarstellung der Freiwilligkeit</w:t>
      </w:r>
    </w:p>
    <w:p w14:paraId="4DF3120E" w14:textId="77777777" w:rsidR="00A41691" w:rsidRDefault="00000000">
      <w:pPr>
        <w:pStyle w:val="Listenabsatz"/>
        <w:numPr>
          <w:ilvl w:val="0"/>
          <w:numId w:val="2"/>
        </w:numPr>
      </w:pPr>
      <w:r>
        <w:rPr>
          <w:b/>
          <w:bCs/>
        </w:rPr>
        <w:t xml:space="preserve">Art. 55: </w:t>
      </w:r>
      <w:r>
        <w:t>Datenerhebung ohne ausreichende Zweckbindung und Löschfristen</w:t>
      </w:r>
    </w:p>
    <w:p w14:paraId="010870F1" w14:textId="77777777" w:rsidR="00A41691" w:rsidRDefault="00000000">
      <w:pPr>
        <w:pStyle w:val="Listenabsatz"/>
        <w:numPr>
          <w:ilvl w:val="0"/>
          <w:numId w:val="2"/>
        </w:numPr>
      </w:pPr>
      <w:r>
        <w:rPr>
          <w:b/>
          <w:bCs/>
        </w:rPr>
        <w:t xml:space="preserve">Art. 58: </w:t>
      </w:r>
      <w:r>
        <w:t>Unverhältnismässige Bussenerhöhung und problematischer Auffangtatbestand</w:t>
      </w:r>
    </w:p>
    <w:p w14:paraId="3BE17676" w14:textId="77777777" w:rsidR="00A41691" w:rsidRDefault="00A41691"/>
    <w:p w14:paraId="538A6D73" w14:textId="77777777" w:rsidR="00A41691" w:rsidRDefault="00000000">
      <w:pPr>
        <w:pStyle w:val="berschrift1"/>
      </w:pPr>
      <w:r>
        <w:t>2. Zu Art. 3 - Zuständigkeit des Kantons: Regierungsrat</w:t>
      </w:r>
    </w:p>
    <w:p w14:paraId="0095BF41" w14:textId="77777777" w:rsidR="00A41691" w:rsidRDefault="00000000">
      <w:pPr>
        <w:pStyle w:val="berschrift2"/>
      </w:pPr>
      <w:r>
        <w:t>Beanstandung</w:t>
      </w:r>
    </w:p>
    <w:p w14:paraId="0BD6D85D" w14:textId="77777777" w:rsidR="00A41691" w:rsidRDefault="00000000">
      <w:r>
        <w:t xml:space="preserve">Art. 3 Abs. 1 ermächtigt den Regierungsrat, "die zum Vollzug der Bundesgesetzgebung und dieses Gesetzes erforderlichen Ausführungsbestimmungen" zu erlassen. Diese Formulierung ist zu offen und ermöglicht in Kombination mit dem Auffangtatbestand in Art. 58 Abs. 1 </w:t>
      </w:r>
      <w:proofErr w:type="spellStart"/>
      <w:r>
        <w:t>lit</w:t>
      </w:r>
      <w:proofErr w:type="spellEnd"/>
      <w:r>
        <w:t>. k) weitreichende Eingriffe in die persönliche Freiheit ohne Mitwirkung des Kantonsrats.</w:t>
      </w:r>
    </w:p>
    <w:p w14:paraId="4C3720A8" w14:textId="77777777" w:rsidR="00A41691" w:rsidRDefault="00A41691"/>
    <w:p w14:paraId="79ECAD33" w14:textId="77777777" w:rsidR="00A41691" w:rsidRDefault="00000000">
      <w:pPr>
        <w:pStyle w:val="berschrift2"/>
      </w:pPr>
      <w:r>
        <w:lastRenderedPageBreak/>
        <w:t>Begründung</w:t>
      </w:r>
    </w:p>
    <w:p w14:paraId="07BD6FB9" w14:textId="77777777" w:rsidR="00A41691" w:rsidRDefault="00000000">
      <w:pPr>
        <w:pStyle w:val="Listenabsatz"/>
        <w:numPr>
          <w:ilvl w:val="0"/>
          <w:numId w:val="2"/>
        </w:numPr>
      </w:pPr>
      <w:r>
        <w:t xml:space="preserve">Der Regierungsrat kann per Verordnung Pflichten einführen (z.B. obligatorische Untersuchungen, </w:t>
      </w:r>
      <w:proofErr w:type="spellStart"/>
      <w:r>
        <w:t>Impfobligatorium</w:t>
      </w:r>
      <w:proofErr w:type="spellEnd"/>
      <w:r>
        <w:t>), die mit bis zu CHF 50'000 Busse bewehrt sind.</w:t>
      </w:r>
    </w:p>
    <w:p w14:paraId="0973B8CB" w14:textId="77777777" w:rsidR="00A41691" w:rsidRDefault="00000000">
      <w:pPr>
        <w:pStyle w:val="Listenabsatz"/>
        <w:numPr>
          <w:ilvl w:val="0"/>
          <w:numId w:val="2"/>
        </w:numPr>
      </w:pPr>
      <w:r>
        <w:t>Der Kantonsrat als demokratisch legitimiertes Organ wird bei grundrechtsrelevanten Entscheidungen umgangen.</w:t>
      </w:r>
    </w:p>
    <w:p w14:paraId="3784FA25" w14:textId="77777777" w:rsidR="00A41691" w:rsidRDefault="00000000">
      <w:pPr>
        <w:pStyle w:val="Listenabsatz"/>
        <w:numPr>
          <w:ilvl w:val="0"/>
          <w:numId w:val="2"/>
        </w:numPr>
      </w:pPr>
      <w:r>
        <w:t>Dies widerspricht dem Grundsatz, dass wesentliche Einschränkungen der Grundrechte auf Gesetzesstufe zu regeln sind (Wesentlichkeitstheorie).</w:t>
      </w:r>
    </w:p>
    <w:p w14:paraId="037D3257" w14:textId="77777777" w:rsidR="00A41691" w:rsidRDefault="00A41691"/>
    <w:p w14:paraId="7500DF5C" w14:textId="77777777" w:rsidR="00A41691" w:rsidRDefault="00000000">
      <w:pPr>
        <w:pStyle w:val="berschrift2"/>
      </w:pPr>
      <w:r>
        <w:t>Antrag</w:t>
      </w:r>
    </w:p>
    <w:p w14:paraId="3D85CF9F" w14:textId="77777777" w:rsidR="00A41691" w:rsidRDefault="00000000">
      <w:r>
        <w:t>Art. 3 Abs. 1 ist wie folgt zu ergänzen:</w:t>
      </w:r>
    </w:p>
    <w:p w14:paraId="517AE2B3" w14:textId="77777777" w:rsidR="00A41691" w:rsidRDefault="00A41691"/>
    <w:p w14:paraId="7257C1FE" w14:textId="0BF5E0EB" w:rsidR="00A41691" w:rsidRDefault="00000000">
      <w:r>
        <w:rPr>
          <w:i/>
          <w:iCs/>
        </w:rPr>
        <w:t xml:space="preserve">"Der Regierungsrat erlässt die zum Vollzug der Bundesgesetzgebung und dieses Gesetzes erforderlichen Ausführungsbestimmungen. </w:t>
      </w:r>
      <w:r>
        <w:rPr>
          <w:b/>
          <w:bCs/>
          <w:i/>
          <w:iCs/>
        </w:rPr>
        <w:t xml:space="preserve">Einschränkungen der persönlichen Freiheit, insbesondere </w:t>
      </w:r>
      <w:proofErr w:type="spellStart"/>
      <w:r>
        <w:rPr>
          <w:b/>
          <w:bCs/>
          <w:i/>
          <w:iCs/>
        </w:rPr>
        <w:t>Obligatorien</w:t>
      </w:r>
      <w:proofErr w:type="spellEnd"/>
      <w:r>
        <w:rPr>
          <w:b/>
          <w:bCs/>
          <w:i/>
          <w:iCs/>
        </w:rPr>
        <w:t xml:space="preserve"> und Pflichten, die mit Sanktionen bewehrt sind, bedürfen einer ausdrücklichen Grundlage im Gesetz</w:t>
      </w:r>
      <w:r w:rsidR="00F46423">
        <w:rPr>
          <w:b/>
          <w:bCs/>
          <w:i/>
          <w:iCs/>
        </w:rPr>
        <w:t xml:space="preserve"> und der Annahme durch den Kantonsrat</w:t>
      </w:r>
      <w:r>
        <w:rPr>
          <w:b/>
          <w:bCs/>
          <w:i/>
          <w:iCs/>
        </w:rPr>
        <w:t>.</w:t>
      </w:r>
      <w:r>
        <w:rPr>
          <w:i/>
          <w:iCs/>
        </w:rPr>
        <w:t>"</w:t>
      </w:r>
    </w:p>
    <w:p w14:paraId="2BBA2CBA" w14:textId="77777777" w:rsidR="00A41691" w:rsidRDefault="00A41691"/>
    <w:p w14:paraId="2052B45D" w14:textId="77777777" w:rsidR="00A41691" w:rsidRDefault="00000000">
      <w:pPr>
        <w:pStyle w:val="berschrift1"/>
      </w:pPr>
      <w:r>
        <w:t>3. Zu Art. 48 - Impfungen</w:t>
      </w:r>
    </w:p>
    <w:p w14:paraId="1FDE10A1" w14:textId="77777777" w:rsidR="00A41691" w:rsidRDefault="00000000">
      <w:pPr>
        <w:pStyle w:val="berschrift2"/>
      </w:pPr>
      <w:r>
        <w:t>Beanstandung</w:t>
      </w:r>
    </w:p>
    <w:p w14:paraId="2530B6D9" w14:textId="77777777" w:rsidR="00A41691" w:rsidRDefault="00000000">
      <w:r>
        <w:t>Art. 48 Abs. 2 ermächtigt den Regierungsrat, "nach Massgabe des Bundesrechts" Impfungen obligatorisch zu erklären. In Verbindung mit den massiv erhöhten Bussen in Art. 58 (bis CHF 50'000 im Wiederholungsfall) schafft dies eine unverhältnismässige Drohkulisse.</w:t>
      </w:r>
    </w:p>
    <w:p w14:paraId="58E36BD0" w14:textId="77777777" w:rsidR="00A41691" w:rsidRDefault="00A41691"/>
    <w:p w14:paraId="27ABE142" w14:textId="77777777" w:rsidR="00A41691" w:rsidRDefault="00000000">
      <w:pPr>
        <w:pStyle w:val="berschrift2"/>
      </w:pPr>
      <w:r>
        <w:t>Begründung</w:t>
      </w:r>
    </w:p>
    <w:p w14:paraId="07ED5A86" w14:textId="77777777" w:rsidR="00A41691" w:rsidRDefault="00000000">
      <w:pPr>
        <w:pStyle w:val="Listenabsatz"/>
        <w:numPr>
          <w:ilvl w:val="0"/>
          <w:numId w:val="2"/>
        </w:numPr>
      </w:pPr>
      <w:r>
        <w:rPr>
          <w:b/>
          <w:bCs/>
        </w:rPr>
        <w:t xml:space="preserve">Unverhältnismässige Bussenerhöhung: </w:t>
      </w:r>
      <w:r>
        <w:t>Die maximale Busse wird von CHF 10'000 auf CHF 20'000 verdoppelt, im Wiederholungsfall sogar auf CHF 50'000 verfünffacht.</w:t>
      </w:r>
    </w:p>
    <w:p w14:paraId="37B68D57" w14:textId="77777777" w:rsidR="00A41691" w:rsidRDefault="00000000">
      <w:pPr>
        <w:pStyle w:val="Listenabsatz"/>
        <w:numPr>
          <w:ilvl w:val="0"/>
          <w:numId w:val="2"/>
        </w:numPr>
      </w:pPr>
      <w:r>
        <w:rPr>
          <w:b/>
          <w:bCs/>
        </w:rPr>
        <w:t xml:space="preserve">Widerspruch zu früheren Zusicherungen: </w:t>
      </w:r>
      <w:r>
        <w:t xml:space="preserve">Bundesrat Berset versicherte 2012: "Auf Grundlage des </w:t>
      </w:r>
      <w:proofErr w:type="spellStart"/>
      <w:r>
        <w:t>Epidemiengesetzes</w:t>
      </w:r>
      <w:proofErr w:type="spellEnd"/>
      <w:r>
        <w:t xml:space="preserve"> keine Zwangsmedikationen." Die hohen Bussen kommen einem faktischen Zwang gleich.</w:t>
      </w:r>
    </w:p>
    <w:p w14:paraId="71590118" w14:textId="7C26CB4B" w:rsidR="00A41691" w:rsidRDefault="00000000">
      <w:pPr>
        <w:pStyle w:val="Listenabsatz"/>
        <w:numPr>
          <w:ilvl w:val="0"/>
          <w:numId w:val="2"/>
        </w:numPr>
      </w:pPr>
      <w:r>
        <w:rPr>
          <w:b/>
          <w:bCs/>
        </w:rPr>
        <w:t xml:space="preserve">Praktische Undurchsetzbarkeit: </w:t>
      </w:r>
      <w:r>
        <w:t xml:space="preserve">Bei massenhafter Impfverweigerung (Beispiel Grossbritannien: </w:t>
      </w:r>
      <w:r w:rsidR="00FB697B">
        <w:t>&lt; 63</w:t>
      </w:r>
      <w:r>
        <w:t>% des Pflegepersonals bei Grippeimpfung) droht ein Versorgungskollaps.</w:t>
      </w:r>
    </w:p>
    <w:p w14:paraId="7E8BE249" w14:textId="77777777" w:rsidR="00A41691" w:rsidRDefault="00000000">
      <w:pPr>
        <w:pStyle w:val="Listenabsatz"/>
        <w:numPr>
          <w:ilvl w:val="0"/>
          <w:numId w:val="2"/>
        </w:numPr>
      </w:pPr>
      <w:r>
        <w:rPr>
          <w:b/>
          <w:bCs/>
        </w:rPr>
        <w:t xml:space="preserve">Fehlende Evaluation: </w:t>
      </w:r>
      <w:r>
        <w:t xml:space="preserve">Die Erfahrungen aus der COVID-19-Impfkampagne wurden nicht aufgearbeitet, bevor neue </w:t>
      </w:r>
      <w:proofErr w:type="spellStart"/>
      <w:r>
        <w:t>Obligatorien</w:t>
      </w:r>
      <w:proofErr w:type="spellEnd"/>
      <w:r>
        <w:t xml:space="preserve"> eingeführt werden.</w:t>
      </w:r>
    </w:p>
    <w:p w14:paraId="5775125D" w14:textId="77777777" w:rsidR="00A41691" w:rsidRDefault="00000000">
      <w:pPr>
        <w:pStyle w:val="Listenabsatz"/>
        <w:numPr>
          <w:ilvl w:val="0"/>
          <w:numId w:val="2"/>
        </w:numPr>
      </w:pPr>
      <w:r>
        <w:rPr>
          <w:b/>
          <w:bCs/>
        </w:rPr>
        <w:t xml:space="preserve">Übergriff auf nicht-exponierte Mitarbeiter: </w:t>
      </w:r>
      <w:r>
        <w:t>Die COVID-Erfahrung zeigt, dass Arbeitgeber auch rechtlich nicht betroffene Mitarbeiter (Buchhaltung, IT, HR) unter Druck setzen.</w:t>
      </w:r>
    </w:p>
    <w:p w14:paraId="414E5FC3" w14:textId="77777777" w:rsidR="00A41691" w:rsidRDefault="00A41691"/>
    <w:p w14:paraId="76BC9DD8" w14:textId="77777777" w:rsidR="00A41691" w:rsidRDefault="00000000">
      <w:pPr>
        <w:pStyle w:val="berschrift2"/>
      </w:pPr>
      <w:r>
        <w:t>Antrag</w:t>
      </w:r>
    </w:p>
    <w:p w14:paraId="3D0057C9" w14:textId="77777777" w:rsidR="00A41691" w:rsidRDefault="00000000">
      <w:r>
        <w:rPr>
          <w:b/>
          <w:bCs/>
        </w:rPr>
        <w:t xml:space="preserve">Hauptantrag: </w:t>
      </w:r>
      <w:r>
        <w:t>Art. 48 Abs. 2 ist ersatzlos zu streichen.</w:t>
      </w:r>
    </w:p>
    <w:p w14:paraId="51349EA6" w14:textId="77777777" w:rsidR="00A41691" w:rsidRDefault="00A41691"/>
    <w:p w14:paraId="6AB71DF8" w14:textId="77777777" w:rsidR="00A41691" w:rsidRDefault="00000000">
      <w:r>
        <w:rPr>
          <w:b/>
          <w:bCs/>
        </w:rPr>
        <w:t xml:space="preserve">Eventualantrag: </w:t>
      </w:r>
      <w:r>
        <w:t>Falls Art. 48 Abs. 2 beibehalten wird, ist er wie folgt zu ergänzen:</w:t>
      </w:r>
    </w:p>
    <w:p w14:paraId="0E05A0DE" w14:textId="77777777" w:rsidR="00A41691" w:rsidRDefault="00A41691"/>
    <w:p w14:paraId="08F91C19" w14:textId="66947CBA" w:rsidR="00A41691" w:rsidRDefault="00000000">
      <w:r>
        <w:rPr>
          <w:i/>
          <w:iCs/>
        </w:rPr>
        <w:t xml:space="preserve">"Nach Massgabe des Bundesrechts kann der Regierungsrat Impfungen obligatorisch erklären. </w:t>
      </w:r>
      <w:r>
        <w:rPr>
          <w:b/>
          <w:bCs/>
          <w:i/>
          <w:iCs/>
        </w:rPr>
        <w:t>Ein Obligatorium ist auf Personen mit direktem Patientenkontakt zu beschränken und darf nicht auf andere Mitarbeiter im Gesundheitswesen ausgedehnt werden. Die Verweigerung einer Impfung darf nicht zu arbeitsrechtlichen Nachteilen führen.</w:t>
      </w:r>
      <w:r>
        <w:rPr>
          <w:i/>
          <w:iCs/>
        </w:rPr>
        <w:t>"</w:t>
      </w:r>
    </w:p>
    <w:p w14:paraId="57B7AE71" w14:textId="77777777" w:rsidR="00A41691" w:rsidRDefault="00A41691"/>
    <w:p w14:paraId="246A853D" w14:textId="77777777" w:rsidR="00F46423" w:rsidRDefault="00F46423"/>
    <w:p w14:paraId="26BAC7EC" w14:textId="77777777" w:rsidR="00F46423" w:rsidRDefault="00F46423"/>
    <w:p w14:paraId="3CAC0A34" w14:textId="77777777" w:rsidR="00A41691" w:rsidRDefault="00000000">
      <w:pPr>
        <w:pStyle w:val="berschrift1"/>
      </w:pPr>
      <w:r>
        <w:t>4. Zu Art. 53 - Schulärztlicher und -zahnärztlicher Dienst</w:t>
      </w:r>
    </w:p>
    <w:p w14:paraId="2F104EF9" w14:textId="77777777" w:rsidR="00A41691" w:rsidRDefault="00000000">
      <w:pPr>
        <w:pStyle w:val="berschrift2"/>
      </w:pPr>
      <w:r>
        <w:t>Beanstandung</w:t>
      </w:r>
    </w:p>
    <w:p w14:paraId="1FB27762" w14:textId="77777777" w:rsidR="00A41691" w:rsidRDefault="00000000">
      <w:r>
        <w:t xml:space="preserve">Art. 53 regelt den schulärztlichen und schulzahnärztlichen Dienst, ohne klarzustellen, ob die Teilnahme an Untersuchungen freiwillig oder obligatorisch ist und ob die Eltern eine Wahlfreiheit zwischen Schularzt und Privatarzt haben. Der Regierungsrat "regelt dessen Aufgaben und die Organisation", was in Kombination mit Art. 58 Abs. 1 </w:t>
      </w:r>
      <w:proofErr w:type="spellStart"/>
      <w:r>
        <w:t>lit</w:t>
      </w:r>
      <w:proofErr w:type="spellEnd"/>
      <w:r>
        <w:t>. k) ein Obligatorium mit Bussen bis CHF 50'000 ermöglicht.</w:t>
      </w:r>
    </w:p>
    <w:p w14:paraId="1C9AA4AC" w14:textId="77777777" w:rsidR="00A41691" w:rsidRDefault="00A41691"/>
    <w:p w14:paraId="73AC2B8E" w14:textId="77777777" w:rsidR="00A41691" w:rsidRDefault="00000000">
      <w:pPr>
        <w:pStyle w:val="berschrift2"/>
      </w:pPr>
      <w:r>
        <w:t>Begründung</w:t>
      </w:r>
    </w:p>
    <w:p w14:paraId="2F0FD4F5" w14:textId="77777777" w:rsidR="00A41691" w:rsidRDefault="00000000">
      <w:pPr>
        <w:pStyle w:val="Listenabsatz"/>
        <w:numPr>
          <w:ilvl w:val="0"/>
          <w:numId w:val="2"/>
        </w:numPr>
      </w:pPr>
      <w:r>
        <w:rPr>
          <w:b/>
          <w:bCs/>
        </w:rPr>
        <w:t xml:space="preserve">Vergleich mit anderen Kantonen: </w:t>
      </w:r>
      <w:r>
        <w:t>In den Kantonen Zürich, Bern, Aargau und St. Gallen ist die Wahlfreiheit zwischen Schularzt und Privatarzt gesetzlich verankert. Eltern können die Untersuchung durch einen Arzt ihrer Wahl durchführen lassen. Diese Wahlfreiheit fehlt im Schaffhauser Entwurf.</w:t>
      </w:r>
    </w:p>
    <w:p w14:paraId="0D6983EA" w14:textId="77777777" w:rsidR="00A41691" w:rsidRDefault="00000000">
      <w:pPr>
        <w:pStyle w:val="Listenabsatz"/>
        <w:numPr>
          <w:ilvl w:val="0"/>
          <w:numId w:val="2"/>
        </w:numPr>
      </w:pPr>
      <w:r>
        <w:rPr>
          <w:b/>
          <w:bCs/>
        </w:rPr>
        <w:t xml:space="preserve">Elternrechte: </w:t>
      </w:r>
      <w:r>
        <w:t>Eltern haben das Recht, über medizinische Untersuchungen ihrer Kinder zu entscheiden und den Arzt ihres Vertrauens zu wählen. Dieses Recht darf nicht per Verordnung ausgehebelt werden.</w:t>
      </w:r>
    </w:p>
    <w:p w14:paraId="23F6515F" w14:textId="77777777" w:rsidR="00A41691" w:rsidRDefault="00000000">
      <w:pPr>
        <w:pStyle w:val="Listenabsatz"/>
        <w:numPr>
          <w:ilvl w:val="0"/>
          <w:numId w:val="2"/>
        </w:numPr>
      </w:pPr>
      <w:r>
        <w:rPr>
          <w:b/>
          <w:bCs/>
        </w:rPr>
        <w:t xml:space="preserve">Rechtsunsicherheit: </w:t>
      </w:r>
      <w:r>
        <w:t>Die offene Formulierung schafft Unsicherheit für Eltern und Schulen. Es ist unklar, ob die Untersuchungen obligatorisch sind und ob eine privatärztliche Untersuchung als gleichwertig anerkannt wird.</w:t>
      </w:r>
    </w:p>
    <w:p w14:paraId="3B9C672E" w14:textId="77777777" w:rsidR="00A41691" w:rsidRDefault="00000000">
      <w:pPr>
        <w:pStyle w:val="Listenabsatz"/>
        <w:numPr>
          <w:ilvl w:val="0"/>
          <w:numId w:val="2"/>
        </w:numPr>
      </w:pPr>
      <w:r>
        <w:rPr>
          <w:b/>
          <w:bCs/>
        </w:rPr>
        <w:t xml:space="preserve">Auffangtatbestand: </w:t>
      </w:r>
      <w:r>
        <w:t xml:space="preserve">Über Art. 58 Abs. 1 </w:t>
      </w:r>
      <w:proofErr w:type="spellStart"/>
      <w:r>
        <w:t>lit</w:t>
      </w:r>
      <w:proofErr w:type="spellEnd"/>
      <w:r>
        <w:t>. k) können Verstösse gegen Verordnungen mit bis zu CHF 50'000 bestraft werden - auch wenn das Gesetz selbst keine Pflicht vorsieht.</w:t>
      </w:r>
    </w:p>
    <w:p w14:paraId="7A2F15FE" w14:textId="77777777" w:rsidR="00A41691" w:rsidRDefault="00A41691"/>
    <w:p w14:paraId="7B6B99A5" w14:textId="77777777" w:rsidR="00A41691" w:rsidRDefault="00000000">
      <w:pPr>
        <w:pStyle w:val="berschrift2"/>
      </w:pPr>
      <w:r>
        <w:t>Antrag</w:t>
      </w:r>
    </w:p>
    <w:p w14:paraId="69F25031" w14:textId="77777777" w:rsidR="00A41691" w:rsidRDefault="00000000">
      <w:r>
        <w:t>Art. 53 ist wie folgt zu ergänzen:</w:t>
      </w:r>
    </w:p>
    <w:p w14:paraId="0FFB4E62" w14:textId="77777777" w:rsidR="00A41691" w:rsidRDefault="00A41691"/>
    <w:p w14:paraId="36FAAC44" w14:textId="77777777" w:rsidR="00A41691" w:rsidRDefault="00000000">
      <w:r>
        <w:rPr>
          <w:b/>
          <w:bCs/>
          <w:i/>
          <w:iCs/>
        </w:rPr>
        <w:t>Art. 53 Abs. 3 (neu): "Die Erziehungsberechtigten können wählen, ob sie ihr Kind beim Schularzt oder bei einer Ärztin bzw. einem Arzt ihrer Wahl untersuchen lassen. Eine Nichtteilnahme an schulärztlichen Untersuchungen darf nicht sanktioniert werden, sofern eine privatärztliche Untersuchung nachgewiesen wird."</w:t>
      </w:r>
    </w:p>
    <w:p w14:paraId="49AF7C0D" w14:textId="77777777" w:rsidR="00A41691" w:rsidRDefault="00A41691"/>
    <w:p w14:paraId="6C36E645" w14:textId="77777777" w:rsidR="00A41691" w:rsidRDefault="00000000">
      <w:pPr>
        <w:pStyle w:val="berschrift1"/>
      </w:pPr>
      <w:r>
        <w:t>5. Zu Art. 55 - Monitoring und Berichterstattung</w:t>
      </w:r>
    </w:p>
    <w:p w14:paraId="112CE652" w14:textId="77777777" w:rsidR="00A41691" w:rsidRDefault="00000000">
      <w:pPr>
        <w:pStyle w:val="berschrift2"/>
      </w:pPr>
      <w:r>
        <w:t>Beanstandung</w:t>
      </w:r>
    </w:p>
    <w:p w14:paraId="028C9802" w14:textId="77777777" w:rsidR="00A41691" w:rsidRDefault="00000000">
      <w:r>
        <w:t>Art. 55 ermächtigt das Departement, bei "ausgewiesenem Bedarf" Gesundheitsdaten zu erheben - auch in privaten Schulen. Die Erhebung kann an "Dritte" delegiert werden. Es fehlen klare Definitionen, Zweckbindungen und Löschfristen.</w:t>
      </w:r>
    </w:p>
    <w:p w14:paraId="66B02B63" w14:textId="77777777" w:rsidR="00A41691" w:rsidRDefault="00A41691"/>
    <w:p w14:paraId="0F7D6AAF" w14:textId="77777777" w:rsidR="00A41691" w:rsidRDefault="00000000">
      <w:pPr>
        <w:pStyle w:val="berschrift2"/>
      </w:pPr>
      <w:r>
        <w:t>Begründung</w:t>
      </w:r>
    </w:p>
    <w:p w14:paraId="59726D66" w14:textId="77777777" w:rsidR="00A41691" w:rsidRDefault="00000000">
      <w:pPr>
        <w:pStyle w:val="Listenabsatz"/>
        <w:numPr>
          <w:ilvl w:val="0"/>
          <w:numId w:val="2"/>
        </w:numPr>
      </w:pPr>
      <w:r>
        <w:rPr>
          <w:b/>
          <w:bCs/>
        </w:rPr>
        <w:t xml:space="preserve">Unbestimmter Begriff: </w:t>
      </w:r>
      <w:r>
        <w:t>"Ausgewiesener Bedarf" ist nicht definiert. Wer entscheidet, wann ein solcher Bedarf vorliegt?</w:t>
      </w:r>
    </w:p>
    <w:p w14:paraId="15DBDA3E" w14:textId="77777777" w:rsidR="00A41691" w:rsidRDefault="00000000">
      <w:pPr>
        <w:pStyle w:val="Listenabsatz"/>
        <w:numPr>
          <w:ilvl w:val="0"/>
          <w:numId w:val="2"/>
        </w:numPr>
      </w:pPr>
      <w:r>
        <w:rPr>
          <w:b/>
          <w:bCs/>
        </w:rPr>
        <w:t xml:space="preserve">Fehlende Zweckbindung: </w:t>
      </w:r>
      <w:r>
        <w:t>Es ist nicht geregelt, wofür die Daten verwendet werden dürfen und wofür nicht.</w:t>
      </w:r>
    </w:p>
    <w:p w14:paraId="2E503D7D" w14:textId="77777777" w:rsidR="00A41691" w:rsidRDefault="00000000">
      <w:pPr>
        <w:pStyle w:val="Listenabsatz"/>
        <w:numPr>
          <w:ilvl w:val="0"/>
          <w:numId w:val="2"/>
        </w:numPr>
      </w:pPr>
      <w:r>
        <w:rPr>
          <w:b/>
          <w:bCs/>
        </w:rPr>
        <w:lastRenderedPageBreak/>
        <w:t xml:space="preserve">Keine Löschfristen: </w:t>
      </w:r>
      <w:r>
        <w:t>Es fehlt eine Regelung, wie lange Daten gespeichert werden dürfen.</w:t>
      </w:r>
    </w:p>
    <w:p w14:paraId="5753AA64" w14:textId="77777777" w:rsidR="00A41691" w:rsidRDefault="00000000">
      <w:pPr>
        <w:pStyle w:val="Listenabsatz"/>
        <w:numPr>
          <w:ilvl w:val="0"/>
          <w:numId w:val="2"/>
        </w:numPr>
      </w:pPr>
      <w:r>
        <w:rPr>
          <w:b/>
          <w:bCs/>
        </w:rPr>
        <w:t xml:space="preserve">Eingriff in private Institutionen: </w:t>
      </w:r>
      <w:r>
        <w:t>Die Datenerhebung erstreckt sich ausdrücklich auf private Schulen.</w:t>
      </w:r>
    </w:p>
    <w:p w14:paraId="3FBCB132" w14:textId="77777777" w:rsidR="00A41691" w:rsidRDefault="00000000">
      <w:pPr>
        <w:pStyle w:val="Listenabsatz"/>
        <w:numPr>
          <w:ilvl w:val="0"/>
          <w:numId w:val="2"/>
        </w:numPr>
      </w:pPr>
      <w:r>
        <w:rPr>
          <w:b/>
          <w:bCs/>
        </w:rPr>
        <w:t xml:space="preserve">Unkontrolliertes Outsourcing: </w:t>
      </w:r>
      <w:r>
        <w:t>"Dritte" können mit der Datenerhebung beauftragt werden, ohne dass deren Qualifikation oder Pflichten geregelt sind.</w:t>
      </w:r>
    </w:p>
    <w:p w14:paraId="44E69019" w14:textId="77777777" w:rsidR="00A41691" w:rsidRDefault="00000000">
      <w:pPr>
        <w:pStyle w:val="Listenabsatz"/>
        <w:numPr>
          <w:ilvl w:val="0"/>
          <w:numId w:val="2"/>
        </w:numPr>
      </w:pPr>
      <w:r>
        <w:rPr>
          <w:b/>
          <w:bCs/>
        </w:rPr>
        <w:t xml:space="preserve">Verknüpfungspotential: </w:t>
      </w:r>
      <w:r>
        <w:t>Die offene Formulierung ermöglicht eine Verknüpfung mit anderen Datensystemen (z.B. E-ID, elektronisches Patientendossier).</w:t>
      </w:r>
    </w:p>
    <w:p w14:paraId="5C32ED1E" w14:textId="77777777" w:rsidR="00A41691" w:rsidRDefault="00A41691"/>
    <w:p w14:paraId="28BF702A" w14:textId="77777777" w:rsidR="00A41691" w:rsidRDefault="00000000">
      <w:pPr>
        <w:pStyle w:val="berschrift2"/>
      </w:pPr>
      <w:r>
        <w:t>Antrag</w:t>
      </w:r>
    </w:p>
    <w:p w14:paraId="533ED40C" w14:textId="77777777" w:rsidR="00A41691" w:rsidRDefault="00000000">
      <w:r>
        <w:t>Art. 55 ist wie folgt zu ändern und zu ergänzen:</w:t>
      </w:r>
    </w:p>
    <w:p w14:paraId="2C59B391" w14:textId="77777777" w:rsidR="00A41691" w:rsidRDefault="00A41691"/>
    <w:p w14:paraId="084A880A" w14:textId="77777777" w:rsidR="00A41691" w:rsidRDefault="00000000">
      <w:r>
        <w:rPr>
          <w:b/>
          <w:bCs/>
        </w:rPr>
        <w:t xml:space="preserve">Art. 55 Abs. 1: </w:t>
      </w:r>
      <w:r>
        <w:rPr>
          <w:i/>
          <w:iCs/>
        </w:rPr>
        <w:t xml:space="preserve">"Das zuständige Departement kann </w:t>
      </w:r>
      <w:r>
        <w:rPr>
          <w:b/>
          <w:bCs/>
          <w:i/>
          <w:iCs/>
        </w:rPr>
        <w:t>bei einer konkreten Gefährdung der öffentlichen Gesundheit</w:t>
      </w:r>
      <w:r>
        <w:rPr>
          <w:i/>
          <w:iCs/>
        </w:rPr>
        <w:t xml:space="preserve"> Daten zum Gesundheitszustand der Bevölkerung erheben..."</w:t>
      </w:r>
    </w:p>
    <w:p w14:paraId="2E518A40" w14:textId="77777777" w:rsidR="00A41691" w:rsidRDefault="00A41691"/>
    <w:p w14:paraId="09318FF2" w14:textId="77777777" w:rsidR="00A41691" w:rsidRDefault="00000000">
      <w:r>
        <w:rPr>
          <w:b/>
          <w:bCs/>
        </w:rPr>
        <w:t xml:space="preserve">Art. 55 Abs. 1 </w:t>
      </w:r>
      <w:proofErr w:type="spellStart"/>
      <w:r>
        <w:rPr>
          <w:b/>
          <w:bCs/>
        </w:rPr>
        <w:t>lit</w:t>
      </w:r>
      <w:proofErr w:type="spellEnd"/>
      <w:r>
        <w:rPr>
          <w:b/>
          <w:bCs/>
        </w:rPr>
        <w:t xml:space="preserve">. b: </w:t>
      </w:r>
      <w:r>
        <w:rPr>
          <w:b/>
          <w:bCs/>
          <w:i/>
          <w:iCs/>
        </w:rPr>
        <w:t>Die Passage "sowie in öffentlichen und privaten Schulen" ist zu streichen.</w:t>
      </w:r>
    </w:p>
    <w:p w14:paraId="4D6BF075" w14:textId="77777777" w:rsidR="00A41691" w:rsidRDefault="00A41691"/>
    <w:p w14:paraId="40F4A586" w14:textId="77777777" w:rsidR="00A41691" w:rsidRDefault="00000000">
      <w:r>
        <w:rPr>
          <w:b/>
          <w:bCs/>
        </w:rPr>
        <w:t xml:space="preserve">Art. 55 Abs. 4 (neu): </w:t>
      </w:r>
      <w:r>
        <w:rPr>
          <w:b/>
          <w:bCs/>
          <w:i/>
          <w:iCs/>
        </w:rPr>
        <w:t>"Die erhobenen Daten dürfen nur für den konkreten Erhebungszweck verwendet werden. Eine Verknüpfung mit anderen Datenbanken ist unzulässig. Die Daten sind nach Erfüllung des Zwecks, spätestens jedoch nach fünf Jahren, zu löschen."</w:t>
      </w:r>
    </w:p>
    <w:p w14:paraId="047EEA8A" w14:textId="77777777" w:rsidR="00A41691" w:rsidRDefault="00A41691"/>
    <w:p w14:paraId="13F84FFB" w14:textId="77777777" w:rsidR="00A41691" w:rsidRDefault="00000000">
      <w:r>
        <w:rPr>
          <w:b/>
          <w:bCs/>
        </w:rPr>
        <w:t xml:space="preserve">Art. 55 Abs. 5 (neu): </w:t>
      </w:r>
      <w:r>
        <w:rPr>
          <w:b/>
          <w:bCs/>
          <w:i/>
          <w:iCs/>
        </w:rPr>
        <w:t>"Die Beauftragung Dritter mit der Datenerhebung bedarf der Genehmigung durch den Kantonsrat. Die beauftragten Dritten unterliegen den gleichen Datenschutzpflichten wie die kantonalen Stellen."</w:t>
      </w:r>
    </w:p>
    <w:p w14:paraId="6F9F431C" w14:textId="77777777" w:rsidR="009829B0" w:rsidRDefault="009829B0"/>
    <w:p w14:paraId="5152F885" w14:textId="77777777" w:rsidR="00A41691" w:rsidRDefault="00000000">
      <w:pPr>
        <w:pStyle w:val="berschrift1"/>
      </w:pPr>
      <w:r>
        <w:t>6. Zu Art. 58 - Strafbestimmungen</w:t>
      </w:r>
    </w:p>
    <w:p w14:paraId="7714FA61" w14:textId="77777777" w:rsidR="00A41691" w:rsidRDefault="00000000">
      <w:pPr>
        <w:pStyle w:val="berschrift2"/>
      </w:pPr>
      <w:r>
        <w:t>Beanstandung</w:t>
      </w:r>
    </w:p>
    <w:p w14:paraId="7AD642F0" w14:textId="77777777" w:rsidR="00A41691" w:rsidRDefault="00000000">
      <w:r>
        <w:t xml:space="preserve">Art. 58 sieht eine massive Erhöhung der Bussen vor (von CHF 10'000 auf CHF 20'000, im Wiederholungsfall auf CHF 50'000). Besonders problematisch ist der Auffangtatbestand in Abs. 1 </w:t>
      </w:r>
      <w:proofErr w:type="spellStart"/>
      <w:r>
        <w:t>lit</w:t>
      </w:r>
      <w:proofErr w:type="spellEnd"/>
      <w:r>
        <w:t>. k), der jeden Verstoss gegen künftige Verordnungen unter Strafe stellt.</w:t>
      </w:r>
    </w:p>
    <w:p w14:paraId="08D2DA04" w14:textId="77777777" w:rsidR="00A41691" w:rsidRDefault="00A41691"/>
    <w:p w14:paraId="1C02836D" w14:textId="77777777" w:rsidR="00A41691" w:rsidRDefault="00000000">
      <w:pPr>
        <w:pStyle w:val="berschrift2"/>
      </w:pPr>
      <w:r>
        <w:t>Begründung</w:t>
      </w:r>
    </w:p>
    <w:p w14:paraId="2778BA60" w14:textId="77777777" w:rsidR="00A41691" w:rsidRDefault="00000000">
      <w:pPr>
        <w:pStyle w:val="Listenabsatz"/>
        <w:numPr>
          <w:ilvl w:val="0"/>
          <w:numId w:val="2"/>
        </w:numPr>
      </w:pPr>
      <w:r>
        <w:rPr>
          <w:b/>
          <w:bCs/>
        </w:rPr>
        <w:t xml:space="preserve">Unverhältnismässige Erhöhung: </w:t>
      </w:r>
      <w:r>
        <w:t>Die Verdoppelung bzw. Verfünffachung der Bussen ist nicht begründet und steht in keinem Verhältnis zu anderen Übertretungen.</w:t>
      </w:r>
    </w:p>
    <w:p w14:paraId="5D92BD2E" w14:textId="4AC2115F" w:rsidR="00A41691" w:rsidRDefault="00000000">
      <w:pPr>
        <w:pStyle w:val="Listenabsatz"/>
        <w:numPr>
          <w:ilvl w:val="0"/>
          <w:numId w:val="2"/>
        </w:numPr>
      </w:pPr>
      <w:r>
        <w:rPr>
          <w:b/>
          <w:bCs/>
        </w:rPr>
        <w:t xml:space="preserve">Blankoermächtigung: </w:t>
      </w:r>
      <w:r>
        <w:t xml:space="preserve">Art. 58 Abs. 1 </w:t>
      </w:r>
      <w:proofErr w:type="spellStart"/>
      <w:r>
        <w:t>lit</w:t>
      </w:r>
      <w:proofErr w:type="spellEnd"/>
      <w:r>
        <w:t xml:space="preserve">. k) macht jeden Verstoss gegen "darauf gestützte Verordnungen" strafbar. Der Regierungsrat kann damit per Verordnung beliebige Pflichten einführen und deren Verletzung </w:t>
      </w:r>
      <w:r w:rsidR="00F46423">
        <w:t xml:space="preserve">mehrfach </w:t>
      </w:r>
      <w:r>
        <w:t>mit bis zu CHF 50'000 bestrafen.</w:t>
      </w:r>
    </w:p>
    <w:p w14:paraId="6170726A" w14:textId="77777777" w:rsidR="00A41691" w:rsidRDefault="00000000">
      <w:pPr>
        <w:pStyle w:val="Listenabsatz"/>
        <w:numPr>
          <w:ilvl w:val="0"/>
          <w:numId w:val="2"/>
        </w:numPr>
      </w:pPr>
      <w:r>
        <w:rPr>
          <w:b/>
          <w:bCs/>
        </w:rPr>
        <w:t xml:space="preserve">Bestimmtheitsgebot: </w:t>
      </w:r>
      <w:r>
        <w:t>Strafnormen müssen hinreichend bestimmt sein. Ein Verweis auf künftige Verordnungen genügt diesem Gebot nicht.</w:t>
      </w:r>
    </w:p>
    <w:p w14:paraId="31E22B25" w14:textId="77777777" w:rsidR="00A41691" w:rsidRDefault="00000000">
      <w:pPr>
        <w:pStyle w:val="Listenabsatz"/>
        <w:numPr>
          <w:ilvl w:val="0"/>
          <w:numId w:val="2"/>
        </w:numPr>
      </w:pPr>
      <w:r>
        <w:rPr>
          <w:b/>
          <w:bCs/>
        </w:rPr>
        <w:t xml:space="preserve">Demokratiedefizit: </w:t>
      </w:r>
      <w:r>
        <w:t>Der Kantonsrat wird bei der Schaffung strafbewehrter Pflichten umgangen.</w:t>
      </w:r>
    </w:p>
    <w:p w14:paraId="4C9DEDBA" w14:textId="77777777" w:rsidR="00A41691" w:rsidRDefault="00A41691"/>
    <w:p w14:paraId="61B5D6C1" w14:textId="77777777" w:rsidR="00A41691" w:rsidRDefault="00000000">
      <w:pPr>
        <w:pStyle w:val="berschrift2"/>
      </w:pPr>
      <w:r>
        <w:t>Antrag</w:t>
      </w:r>
    </w:p>
    <w:p w14:paraId="17FC9051" w14:textId="77777777" w:rsidR="00A41691" w:rsidRDefault="00000000">
      <w:r>
        <w:rPr>
          <w:b/>
          <w:bCs/>
        </w:rPr>
        <w:t xml:space="preserve">Art. 58 Abs. 1: </w:t>
      </w:r>
      <w:r>
        <w:t>Die Bussenhöhe ist bei CHF 10'000 zu belassen (Status quo).</w:t>
      </w:r>
    </w:p>
    <w:p w14:paraId="4F3943F9" w14:textId="77777777" w:rsidR="00A41691" w:rsidRDefault="00A41691"/>
    <w:p w14:paraId="62F18B69" w14:textId="77777777" w:rsidR="00A41691" w:rsidRDefault="00000000">
      <w:r>
        <w:rPr>
          <w:b/>
          <w:bCs/>
        </w:rPr>
        <w:lastRenderedPageBreak/>
        <w:t xml:space="preserve">Art. 58 Abs. 1 </w:t>
      </w:r>
      <w:proofErr w:type="spellStart"/>
      <w:r>
        <w:rPr>
          <w:b/>
          <w:bCs/>
        </w:rPr>
        <w:t>lit</w:t>
      </w:r>
      <w:proofErr w:type="spellEnd"/>
      <w:r>
        <w:rPr>
          <w:b/>
          <w:bCs/>
        </w:rPr>
        <w:t xml:space="preserve">. k): </w:t>
      </w:r>
      <w:r>
        <w:t>Der Passus "oder der darauf gestützten Verordnungen" ist ersatzlos zu streichen. Strafbare Handlungen müssen im Gesetz selbst definiert sein.</w:t>
      </w:r>
    </w:p>
    <w:p w14:paraId="677E20D2" w14:textId="77777777" w:rsidR="00A41691" w:rsidRDefault="00A41691"/>
    <w:p w14:paraId="6CBE04C8" w14:textId="122143A7" w:rsidR="00A41691" w:rsidRDefault="00000000">
      <w:r>
        <w:rPr>
          <w:b/>
          <w:bCs/>
        </w:rPr>
        <w:t xml:space="preserve">Art. 58 Abs. 3: </w:t>
      </w:r>
      <w:r>
        <w:t>Die Erhöhung auf CHF 50'000 im Wiederholungsfall ist zu.</w:t>
      </w:r>
    </w:p>
    <w:p w14:paraId="00D604A3" w14:textId="77777777" w:rsidR="00A41691" w:rsidRDefault="00000000">
      <w:pPr>
        <w:pStyle w:val="berschrift1"/>
      </w:pPr>
      <w:r>
        <w:t>7. Schlussbemerkungen</w:t>
      </w:r>
    </w:p>
    <w:p w14:paraId="2D7CA09B" w14:textId="77777777" w:rsidR="00A41691" w:rsidRDefault="00000000">
      <w:r>
        <w:t xml:space="preserve">Der vorliegende Gesetzesentwurf enthält verschiedene Bestimmungen, die eine erhebliche Machtverschiebung vom Kantonsrat zum Regierungsrat bewirken. Durch die Kombination von weitreichenden Verordnungskompetenzen (Art. 3) mit dem Auffangtatbestand (Art. 58 Abs. 1 </w:t>
      </w:r>
      <w:proofErr w:type="spellStart"/>
      <w:r>
        <w:t>lit</w:t>
      </w:r>
      <w:proofErr w:type="spellEnd"/>
      <w:r>
        <w:t>. k) und massiv erhöhten Bussen kann der Regierungsrat faktisch ohne demokratische Kontrolle in die Grundrechte der Bürgerinnen und Bürger eingreifen.</w:t>
      </w:r>
    </w:p>
    <w:p w14:paraId="212A276A" w14:textId="77777777" w:rsidR="00A41691" w:rsidRDefault="00A41691"/>
    <w:p w14:paraId="6936C8F6" w14:textId="77777777" w:rsidR="00A41691" w:rsidRDefault="00000000">
      <w:r>
        <w:t>Wir fordern den Regierungsrat auf, die beantragten Änderungen zu berücksichtigen und damit sicherzustellen, dass:</w:t>
      </w:r>
    </w:p>
    <w:p w14:paraId="75C87771" w14:textId="77777777" w:rsidR="00A41691" w:rsidRDefault="00A41691"/>
    <w:p w14:paraId="269B2C21" w14:textId="77777777" w:rsidR="00A41691" w:rsidRDefault="00000000">
      <w:pPr>
        <w:pStyle w:val="Listenabsatz"/>
        <w:numPr>
          <w:ilvl w:val="0"/>
          <w:numId w:val="2"/>
        </w:numPr>
      </w:pPr>
      <w:r>
        <w:t>Grundrechtseingriffe auf Gesetzesstufe geregelt werden</w:t>
      </w:r>
    </w:p>
    <w:p w14:paraId="29F8AE0E" w14:textId="77777777" w:rsidR="00A41691" w:rsidRDefault="00000000">
      <w:pPr>
        <w:pStyle w:val="Listenabsatz"/>
        <w:numPr>
          <w:ilvl w:val="0"/>
          <w:numId w:val="2"/>
        </w:numPr>
      </w:pPr>
      <w:r>
        <w:t>Die Selbstbestimmung der Bürgerinnen und Bürger gewahrt bleibt</w:t>
      </w:r>
    </w:p>
    <w:p w14:paraId="443A0E2D" w14:textId="77777777" w:rsidR="00A41691" w:rsidRDefault="00000000">
      <w:pPr>
        <w:pStyle w:val="Listenabsatz"/>
        <w:numPr>
          <w:ilvl w:val="0"/>
          <w:numId w:val="2"/>
        </w:numPr>
      </w:pPr>
      <w:r>
        <w:t>Elternrechte respektiert werden</w:t>
      </w:r>
    </w:p>
    <w:p w14:paraId="023EABF1" w14:textId="77777777" w:rsidR="00A41691" w:rsidRDefault="00000000">
      <w:pPr>
        <w:pStyle w:val="Listenabsatz"/>
        <w:numPr>
          <w:ilvl w:val="0"/>
          <w:numId w:val="2"/>
        </w:numPr>
      </w:pPr>
      <w:r>
        <w:t>Der Datenschutz gewährleistet ist</w:t>
      </w:r>
    </w:p>
    <w:p w14:paraId="3956FCFD" w14:textId="77777777" w:rsidR="00A41691" w:rsidRDefault="00000000">
      <w:pPr>
        <w:pStyle w:val="Listenabsatz"/>
        <w:numPr>
          <w:ilvl w:val="0"/>
          <w:numId w:val="2"/>
        </w:numPr>
      </w:pPr>
      <w:r>
        <w:t>Die Verhältnismässigkeit der Strafbestimmungen gewahrt bleibt</w:t>
      </w:r>
    </w:p>
    <w:p w14:paraId="593457D8" w14:textId="77777777" w:rsidR="00A41691" w:rsidRDefault="00A41691"/>
    <w:p w14:paraId="481AD375" w14:textId="77777777" w:rsidR="00A41691" w:rsidRDefault="00000000">
      <w:r>
        <w:t>Wir danken Ihnen für die Berücksichtigung unserer Stellungnahme und stehen für Rückfragen gerne zur Verfügung.</w:t>
      </w:r>
    </w:p>
    <w:p w14:paraId="482F0F1D" w14:textId="77777777" w:rsidR="00A41691" w:rsidRDefault="00A41691"/>
    <w:p w14:paraId="50639CAF" w14:textId="77777777" w:rsidR="00A41691" w:rsidRDefault="00A41691"/>
    <w:p w14:paraId="187EB48D" w14:textId="77777777" w:rsidR="00A41691" w:rsidRDefault="00000000">
      <w:r>
        <w:t>Freundliche Grüsse</w:t>
      </w:r>
    </w:p>
    <w:p w14:paraId="4FE149EE" w14:textId="77777777" w:rsidR="00A41691" w:rsidRDefault="00A41691"/>
    <w:p w14:paraId="10DE1EF5" w14:textId="77777777" w:rsidR="00A41691" w:rsidRDefault="00A41691"/>
    <w:p w14:paraId="34565B45" w14:textId="77777777" w:rsidR="00A41691" w:rsidRDefault="00A41691"/>
    <w:p w14:paraId="6FF83DBB" w14:textId="77777777" w:rsidR="00A41691" w:rsidRDefault="00000000">
      <w:r>
        <w:rPr>
          <w:color w:val="888888"/>
        </w:rPr>
        <w:t>[Unterschrift]</w:t>
      </w:r>
    </w:p>
    <w:p w14:paraId="21651CB5" w14:textId="77777777" w:rsidR="00A41691" w:rsidRDefault="00A41691"/>
    <w:p w14:paraId="3F0B0347" w14:textId="77777777" w:rsidR="00A41691" w:rsidRDefault="00000000">
      <w:r>
        <w:rPr>
          <w:color w:val="888888"/>
        </w:rPr>
        <w:t>[Name / Organisation]</w:t>
      </w:r>
    </w:p>
    <w:sectPr w:rsidR="00A41691">
      <w:pgSz w:w="11906" w:h="16838"/>
      <w:pgMar w:top="1417" w:right="1417" w:bottom="1134"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21AE"/>
    <w:multiLevelType w:val="hybridMultilevel"/>
    <w:tmpl w:val="94E8FA9E"/>
    <w:lvl w:ilvl="0" w:tplc="49F4A9AA">
      <w:start w:val="1"/>
      <w:numFmt w:val="bullet"/>
      <w:lvlText w:val="•"/>
      <w:lvlJc w:val="left"/>
      <w:pPr>
        <w:ind w:left="720" w:hanging="360"/>
      </w:pPr>
    </w:lvl>
    <w:lvl w:ilvl="1" w:tplc="927631D6">
      <w:start w:val="1"/>
      <w:numFmt w:val="bullet"/>
      <w:lvlText w:val="◦"/>
      <w:lvlJc w:val="left"/>
      <w:pPr>
        <w:ind w:left="1080" w:hanging="360"/>
      </w:pPr>
    </w:lvl>
    <w:lvl w:ilvl="2" w:tplc="5A6A17A0">
      <w:numFmt w:val="decimal"/>
      <w:lvlText w:val=""/>
      <w:lvlJc w:val="left"/>
    </w:lvl>
    <w:lvl w:ilvl="3" w:tplc="9FB67BD6">
      <w:numFmt w:val="decimal"/>
      <w:lvlText w:val=""/>
      <w:lvlJc w:val="left"/>
    </w:lvl>
    <w:lvl w:ilvl="4" w:tplc="355430DE">
      <w:numFmt w:val="decimal"/>
      <w:lvlText w:val=""/>
      <w:lvlJc w:val="left"/>
    </w:lvl>
    <w:lvl w:ilvl="5" w:tplc="459A9E6A">
      <w:numFmt w:val="decimal"/>
      <w:lvlText w:val=""/>
      <w:lvlJc w:val="left"/>
    </w:lvl>
    <w:lvl w:ilvl="6" w:tplc="D4BE0CB2">
      <w:numFmt w:val="decimal"/>
      <w:lvlText w:val=""/>
      <w:lvlJc w:val="left"/>
    </w:lvl>
    <w:lvl w:ilvl="7" w:tplc="81DA102E">
      <w:numFmt w:val="decimal"/>
      <w:lvlText w:val=""/>
      <w:lvlJc w:val="left"/>
    </w:lvl>
    <w:lvl w:ilvl="8" w:tplc="26329EA6">
      <w:numFmt w:val="decimal"/>
      <w:lvlText w:val=""/>
      <w:lvlJc w:val="left"/>
    </w:lvl>
  </w:abstractNum>
  <w:abstractNum w:abstractNumId="1" w15:restartNumberingAfterBreak="0">
    <w:nsid w:val="2BA34D07"/>
    <w:multiLevelType w:val="hybridMultilevel"/>
    <w:tmpl w:val="7E1C6B4E"/>
    <w:lvl w:ilvl="0" w:tplc="296EB4D4">
      <w:start w:val="1"/>
      <w:numFmt w:val="decimal"/>
      <w:lvlText w:val="%1."/>
      <w:lvlJc w:val="left"/>
      <w:pPr>
        <w:ind w:left="720" w:hanging="360"/>
      </w:pPr>
    </w:lvl>
    <w:lvl w:ilvl="1" w:tplc="AFFCD97A">
      <w:numFmt w:val="decimal"/>
      <w:lvlText w:val=""/>
      <w:lvlJc w:val="left"/>
    </w:lvl>
    <w:lvl w:ilvl="2" w:tplc="9EC0D368">
      <w:numFmt w:val="decimal"/>
      <w:lvlText w:val=""/>
      <w:lvlJc w:val="left"/>
    </w:lvl>
    <w:lvl w:ilvl="3" w:tplc="F078AA40">
      <w:numFmt w:val="decimal"/>
      <w:lvlText w:val=""/>
      <w:lvlJc w:val="left"/>
    </w:lvl>
    <w:lvl w:ilvl="4" w:tplc="C76C12C8">
      <w:numFmt w:val="decimal"/>
      <w:lvlText w:val=""/>
      <w:lvlJc w:val="left"/>
    </w:lvl>
    <w:lvl w:ilvl="5" w:tplc="ECE82D1E">
      <w:numFmt w:val="decimal"/>
      <w:lvlText w:val=""/>
      <w:lvlJc w:val="left"/>
    </w:lvl>
    <w:lvl w:ilvl="6" w:tplc="2E76B462">
      <w:numFmt w:val="decimal"/>
      <w:lvlText w:val=""/>
      <w:lvlJc w:val="left"/>
    </w:lvl>
    <w:lvl w:ilvl="7" w:tplc="BF1E5FA2">
      <w:numFmt w:val="decimal"/>
      <w:lvlText w:val=""/>
      <w:lvlJc w:val="left"/>
    </w:lvl>
    <w:lvl w:ilvl="8" w:tplc="3ADA40EA">
      <w:numFmt w:val="decimal"/>
      <w:lvlText w:val=""/>
      <w:lvlJc w:val="left"/>
    </w:lvl>
  </w:abstractNum>
  <w:abstractNum w:abstractNumId="2" w15:restartNumberingAfterBreak="0">
    <w:nsid w:val="4EB7189A"/>
    <w:multiLevelType w:val="hybridMultilevel"/>
    <w:tmpl w:val="20468DE2"/>
    <w:lvl w:ilvl="0" w:tplc="AC84DAB0">
      <w:start w:val="1"/>
      <w:numFmt w:val="bullet"/>
      <w:lvlText w:val="●"/>
      <w:lvlJc w:val="left"/>
      <w:pPr>
        <w:ind w:left="720" w:hanging="360"/>
      </w:pPr>
    </w:lvl>
    <w:lvl w:ilvl="1" w:tplc="21E24B2C">
      <w:start w:val="1"/>
      <w:numFmt w:val="bullet"/>
      <w:lvlText w:val="○"/>
      <w:lvlJc w:val="left"/>
      <w:pPr>
        <w:ind w:left="1440" w:hanging="360"/>
      </w:pPr>
    </w:lvl>
    <w:lvl w:ilvl="2" w:tplc="58E6CDB4">
      <w:start w:val="1"/>
      <w:numFmt w:val="bullet"/>
      <w:lvlText w:val="■"/>
      <w:lvlJc w:val="left"/>
      <w:pPr>
        <w:ind w:left="2160" w:hanging="360"/>
      </w:pPr>
    </w:lvl>
    <w:lvl w:ilvl="3" w:tplc="30EC1E0E">
      <w:start w:val="1"/>
      <w:numFmt w:val="bullet"/>
      <w:lvlText w:val="●"/>
      <w:lvlJc w:val="left"/>
      <w:pPr>
        <w:ind w:left="2880" w:hanging="360"/>
      </w:pPr>
    </w:lvl>
    <w:lvl w:ilvl="4" w:tplc="75C44D86">
      <w:start w:val="1"/>
      <w:numFmt w:val="bullet"/>
      <w:lvlText w:val="○"/>
      <w:lvlJc w:val="left"/>
      <w:pPr>
        <w:ind w:left="3600" w:hanging="360"/>
      </w:pPr>
    </w:lvl>
    <w:lvl w:ilvl="5" w:tplc="8A3A77E2">
      <w:start w:val="1"/>
      <w:numFmt w:val="bullet"/>
      <w:lvlText w:val="■"/>
      <w:lvlJc w:val="left"/>
      <w:pPr>
        <w:ind w:left="4320" w:hanging="360"/>
      </w:pPr>
    </w:lvl>
    <w:lvl w:ilvl="6" w:tplc="AB1251CA">
      <w:start w:val="1"/>
      <w:numFmt w:val="bullet"/>
      <w:lvlText w:val="●"/>
      <w:lvlJc w:val="left"/>
      <w:pPr>
        <w:ind w:left="5040" w:hanging="360"/>
      </w:pPr>
    </w:lvl>
    <w:lvl w:ilvl="7" w:tplc="3C2CC4F0">
      <w:start w:val="1"/>
      <w:numFmt w:val="bullet"/>
      <w:lvlText w:val="●"/>
      <w:lvlJc w:val="left"/>
      <w:pPr>
        <w:ind w:left="5760" w:hanging="360"/>
      </w:pPr>
    </w:lvl>
    <w:lvl w:ilvl="8" w:tplc="E0C80E24">
      <w:start w:val="1"/>
      <w:numFmt w:val="bullet"/>
      <w:lvlText w:val="●"/>
      <w:lvlJc w:val="left"/>
      <w:pPr>
        <w:ind w:left="6480" w:hanging="360"/>
      </w:pPr>
    </w:lvl>
  </w:abstractNum>
  <w:num w:numId="1" w16cid:durableId="751388907">
    <w:abstractNumId w:val="2"/>
    <w:lvlOverride w:ilvl="0">
      <w:startOverride w:val="1"/>
    </w:lvlOverride>
  </w:num>
  <w:num w:numId="2" w16cid:durableId="11161447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691"/>
    <w:rsid w:val="000A451E"/>
    <w:rsid w:val="00142F60"/>
    <w:rsid w:val="00872FB8"/>
    <w:rsid w:val="009829B0"/>
    <w:rsid w:val="009B013A"/>
    <w:rsid w:val="00A41691"/>
    <w:rsid w:val="00E27764"/>
    <w:rsid w:val="00F46423"/>
    <w:rsid w:val="00FB69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D8CA"/>
  <w15:docId w15:val="{9A3E9E6F-8689-4A46-8D6E-243E422D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00" w:after="200"/>
      <w:outlineLvl w:val="0"/>
    </w:pPr>
    <w:rPr>
      <w:b/>
      <w:bCs/>
      <w:color w:val="1A1A1A"/>
      <w:sz w:val="28"/>
      <w:szCs w:val="28"/>
    </w:rPr>
  </w:style>
  <w:style w:type="paragraph" w:styleId="berschrift2">
    <w:name w:val="heading 2"/>
    <w:uiPriority w:val="9"/>
    <w:unhideWhenUsed/>
    <w:qFormat/>
    <w:pPr>
      <w:spacing w:before="240" w:after="120"/>
      <w:outlineLvl w:val="1"/>
    </w:pPr>
    <w:rPr>
      <w:b/>
      <w:bCs/>
      <w:color w:val="333333"/>
      <w:sz w:val="24"/>
      <w:szCs w:val="24"/>
    </w:rPr>
  </w:style>
  <w:style w:type="paragraph" w:styleId="berschrift3">
    <w:name w:val="heading 3"/>
    <w:uiPriority w:val="9"/>
    <w:semiHidden/>
    <w:unhideWhenUsed/>
    <w:qFormat/>
    <w:pPr>
      <w:spacing w:before="200" w:after="100"/>
      <w:outlineLvl w:val="2"/>
    </w:pPr>
    <w:rPr>
      <w:b/>
      <w:bCs/>
      <w:color w:val="44444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8684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Andrea Staubli</cp:lastModifiedBy>
  <cp:revision>2</cp:revision>
  <cp:lastPrinted>2026-01-26T11:42:00Z</cp:lastPrinted>
  <dcterms:created xsi:type="dcterms:W3CDTF">2026-01-26T12:38:00Z</dcterms:created>
  <dcterms:modified xsi:type="dcterms:W3CDTF">2026-01-26T12:38:00Z</dcterms:modified>
</cp:coreProperties>
</file>