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4651" w:rsidRDefault="00976288">
      <w:r>
        <w:t>[Name, Adresse]</w:t>
      </w:r>
    </w:p>
    <w:p w:rsidR="00A04651" w:rsidRDefault="00A04651">
      <w:pPr>
        <w:spacing w:after="300"/>
      </w:pPr>
    </w:p>
    <w:p w:rsidR="00A04651" w:rsidRDefault="00976288">
      <w:r>
        <w:t>Gesundheitsdepartement des Kantons St.Gallen</w:t>
      </w:r>
    </w:p>
    <w:p w:rsidR="00A04651" w:rsidRDefault="00976288">
      <w:r>
        <w:t>Oberer Graben 32, 9001 St.Gallen</w:t>
      </w:r>
      <w:r>
        <w:br/>
      </w:r>
      <w:hyperlink r:id="rId5" w:history="1">
        <w:r w:rsidRPr="00976288">
          <w:rPr>
            <w:rStyle w:val="Hyperlink"/>
            <w:sz w:val="24"/>
            <w:szCs w:val="24"/>
          </w:rPr>
          <w:t>info.gdgs@sg.ch</w:t>
        </w:r>
      </w:hyperlink>
    </w:p>
    <w:p w:rsidR="00A04651" w:rsidRDefault="00A04651">
      <w:pPr>
        <w:spacing w:after="300"/>
      </w:pPr>
    </w:p>
    <w:p w:rsidR="00A04651" w:rsidRDefault="00976288">
      <w:pPr>
        <w:spacing w:after="300"/>
        <w:jc w:val="right"/>
      </w:pPr>
      <w:r>
        <w:t>[Ort, Datum]</w:t>
      </w:r>
    </w:p>
    <w:p w:rsidR="00A04651" w:rsidRDefault="00976288">
      <w:pPr>
        <w:spacing w:after="300"/>
      </w:pPr>
      <w:r>
        <w:rPr>
          <w:b/>
          <w:bCs/>
        </w:rPr>
        <w:t>Vernehmlassung Totalrevision Gesundheitsgesetz – Rechtsstaatliche Bedenken</w:t>
      </w:r>
    </w:p>
    <w:p w:rsidR="00A04651" w:rsidRDefault="00976288">
      <w:pPr>
        <w:spacing w:after="200"/>
      </w:pPr>
      <w:r>
        <w:t>Sehr geehrte Damen und Herren</w:t>
      </w:r>
    </w:p>
    <w:p w:rsidR="00A04651" w:rsidRDefault="00976288">
      <w:pPr>
        <w:spacing w:after="150"/>
      </w:pPr>
      <w:r>
        <w:t>Der Entwurf zur Totalrevision des Gesundheitsgesetzes wirft grundlegende rechtsstaatliche Fragen auf. Mehrere Bestimmungen verlagern Kompetenzen von de</w:t>
      </w:r>
      <w:r>
        <w:t>r Legislative zur Exekutive und umgehen damit die demokratische Kontrolle.</w:t>
      </w:r>
    </w:p>
    <w:p w:rsidR="00A04651" w:rsidRDefault="00976288">
      <w:pPr>
        <w:pStyle w:val="berschrift1"/>
      </w:pPr>
      <w:r>
        <w:t>Aushöhlung der Gewaltenteilung</w:t>
      </w:r>
    </w:p>
    <w:p w:rsidR="00A04651" w:rsidRDefault="00976288">
      <w:pPr>
        <w:spacing w:after="150"/>
      </w:pPr>
      <w:r>
        <w:rPr>
          <w:b/>
          <w:bCs/>
        </w:rPr>
        <w:t>Art. 18</w:t>
      </w:r>
      <w:r>
        <w:t xml:space="preserve"> ermächtigt die Regierung, Impfungen «durch Verordnung» für obligatorisch zu erklären. Das Parlament wird umgangen, das Volk hat keine Referend</w:t>
      </w:r>
      <w:r>
        <w:t xml:space="preserve">umsmöglichkeit. In Verbindung mit </w:t>
      </w:r>
      <w:r>
        <w:rPr>
          <w:b/>
          <w:bCs/>
        </w:rPr>
        <w:t>Art. 141</w:t>
      </w:r>
      <w:r>
        <w:t>, der Bussen bis CHF 20'000 bei Impfverweigerung vorsieht, entsteht ein System, in dem die Exekutive allein über schwerwiegende Grundrechtseingriffe entscheidet.</w:t>
      </w:r>
    </w:p>
    <w:p w:rsidR="00A04651" w:rsidRDefault="00976288">
      <w:pPr>
        <w:spacing w:after="150"/>
      </w:pPr>
      <w:r>
        <w:t xml:space="preserve">Dies widerspricht dem Legalitätsprinzip nach </w:t>
      </w:r>
      <w:r>
        <w:rPr>
          <w:b/>
          <w:bCs/>
        </w:rPr>
        <w:t xml:space="preserve">Art. 5 </w:t>
      </w:r>
      <w:r>
        <w:rPr>
          <w:b/>
          <w:bCs/>
        </w:rPr>
        <w:t>BV</w:t>
      </w:r>
      <w:r>
        <w:t>: Schwerwiegende Eingriffe in Grundrechte bedürfen einer Grundlage im formellen Gesetz – einem Erlass, der vom Parlament beschlossen wurde und dem fakultativen Referendum untersteht. Eine Verordnung der Regierung genügt nicht.</w:t>
      </w:r>
    </w:p>
    <w:p w:rsidR="00A04651" w:rsidRDefault="00976288">
      <w:pPr>
        <w:pStyle w:val="berschrift1"/>
      </w:pPr>
      <w:r>
        <w:t>Fehlende richterliche Kontr</w:t>
      </w:r>
      <w:r>
        <w:t>olle</w:t>
      </w:r>
    </w:p>
    <w:p w:rsidR="00A04651" w:rsidRDefault="00976288">
      <w:pPr>
        <w:spacing w:after="150"/>
      </w:pPr>
      <w:r>
        <w:rPr>
          <w:b/>
          <w:bCs/>
        </w:rPr>
        <w:t>Art. 126</w:t>
      </w:r>
      <w:r>
        <w:t xml:space="preserve"> erlaubt der Aufsichtsbehörde, Geschäftsräume ohne richterliche Anordnung zu betreten, zu durchsuchen und Unterlagen zu beschlagnahmen. Die Polizei kann zur Durchsetzung beigezogen werden. Dies entspricht faktisch einer Hausdurchsuchung – ein </w:t>
      </w:r>
      <w:r>
        <w:t>Eingriff, der normalerweise nur mit richterlichem Beschluss zulässig ist.</w:t>
      </w:r>
    </w:p>
    <w:p w:rsidR="00A04651" w:rsidRDefault="00976288">
      <w:pPr>
        <w:spacing w:after="150"/>
      </w:pPr>
      <w:r>
        <w:t xml:space="preserve">Ebenso bedenklich: </w:t>
      </w:r>
      <w:r>
        <w:rPr>
          <w:b/>
          <w:bCs/>
        </w:rPr>
        <w:t>Art. 64 Abs. 1 Bst. b</w:t>
      </w:r>
      <w:r>
        <w:t xml:space="preserve"> erlaubt die Einschränkung der Bewegungsfreiheit zur «Beseitigung einer schwerwiegenden Störung des Gemeinschaftslebens». Dieser unbestimmte R</w:t>
      </w:r>
      <w:r>
        <w:t>echtsbegriff gibt Behörden einen Ermessensspielraum, der rechtsstaatlich problematisch ist.</w:t>
      </w:r>
    </w:p>
    <w:p w:rsidR="00A04651" w:rsidRDefault="00976288">
      <w:pPr>
        <w:pStyle w:val="berschrift1"/>
      </w:pPr>
      <w:r>
        <w:t>Meine Forderungen</w:t>
      </w:r>
    </w:p>
    <w:p w:rsidR="00A04651" w:rsidRDefault="00976288">
      <w:pPr>
        <w:spacing w:after="100"/>
      </w:pPr>
      <w:r>
        <w:rPr>
          <w:b/>
          <w:bCs/>
        </w:rPr>
        <w:t>1. Art. 18 streichen – Impfpflicht nur auf Gesetzesstufe mit Referendum.</w:t>
      </w:r>
    </w:p>
    <w:p w:rsidR="00A04651" w:rsidRDefault="00976288">
      <w:pPr>
        <w:spacing w:after="100"/>
      </w:pPr>
      <w:r>
        <w:rPr>
          <w:b/>
          <w:bCs/>
        </w:rPr>
        <w:t>2. Art. 141 Abs. 2 Bst. a streichen – keine Strafnorm für Verordnungsvers</w:t>
      </w:r>
      <w:r>
        <w:rPr>
          <w:b/>
          <w:bCs/>
        </w:rPr>
        <w:t>tösse.</w:t>
      </w:r>
    </w:p>
    <w:p w:rsidR="00A04651" w:rsidRDefault="00976288">
      <w:pPr>
        <w:spacing w:after="100"/>
      </w:pPr>
      <w:r>
        <w:rPr>
          <w:b/>
          <w:bCs/>
        </w:rPr>
        <w:t>3. Art. 126: Richterliche Anordnung als Voraussetzung für Durchsuchungen.</w:t>
      </w:r>
    </w:p>
    <w:p w:rsidR="00A04651" w:rsidRDefault="00976288">
      <w:pPr>
        <w:spacing w:after="150"/>
      </w:pPr>
      <w:r>
        <w:rPr>
          <w:b/>
          <w:bCs/>
        </w:rPr>
        <w:t>4. Art. 64 Abs. 1 Bst. b streichen – keine Freiheitsentziehung wegen «Störung».</w:t>
      </w:r>
    </w:p>
    <w:p w:rsidR="00A04651" w:rsidRDefault="00976288">
      <w:pPr>
        <w:spacing w:after="150"/>
      </w:pPr>
      <w:r>
        <w:t>Ein Rechtsstaat zeichnet sich durch die Teilung der Gewalten und die Kontrolle staatlicher Mach</w:t>
      </w:r>
      <w:r>
        <w:t>t aus. Der vorliegende Entwurf schwächt beide Prinzipien. Ich bitte Sie, dies bei der Überarbeitung zu berücksichtigen.</w:t>
      </w:r>
    </w:p>
    <w:p w:rsidR="00A04651" w:rsidRDefault="00976288">
      <w:pPr>
        <w:spacing w:before="300"/>
      </w:pPr>
      <w:r>
        <w:lastRenderedPageBreak/>
        <w:t>Freundliche Grüsse</w:t>
      </w:r>
    </w:p>
    <w:p w:rsidR="00A04651" w:rsidRDefault="00976288">
      <w:pPr>
        <w:spacing w:after="400"/>
      </w:pPr>
      <w:r>
        <w:t>[Unterschrift]</w:t>
      </w:r>
    </w:p>
    <w:sectPr w:rsidR="00A04651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659C6"/>
    <w:multiLevelType w:val="hybridMultilevel"/>
    <w:tmpl w:val="B8DE93CC"/>
    <w:lvl w:ilvl="0" w:tplc="8D522AB8">
      <w:start w:val="1"/>
      <w:numFmt w:val="bullet"/>
      <w:lvlText w:val="●"/>
      <w:lvlJc w:val="left"/>
      <w:pPr>
        <w:ind w:left="720" w:hanging="360"/>
      </w:pPr>
    </w:lvl>
    <w:lvl w:ilvl="1" w:tplc="2E70D65C">
      <w:start w:val="1"/>
      <w:numFmt w:val="bullet"/>
      <w:lvlText w:val="○"/>
      <w:lvlJc w:val="left"/>
      <w:pPr>
        <w:ind w:left="1440" w:hanging="360"/>
      </w:pPr>
    </w:lvl>
    <w:lvl w:ilvl="2" w:tplc="1696B8C0">
      <w:start w:val="1"/>
      <w:numFmt w:val="bullet"/>
      <w:lvlText w:val="■"/>
      <w:lvlJc w:val="left"/>
      <w:pPr>
        <w:ind w:left="2160" w:hanging="360"/>
      </w:pPr>
    </w:lvl>
    <w:lvl w:ilvl="3" w:tplc="36AA6868">
      <w:start w:val="1"/>
      <w:numFmt w:val="bullet"/>
      <w:lvlText w:val="●"/>
      <w:lvlJc w:val="left"/>
      <w:pPr>
        <w:ind w:left="2880" w:hanging="360"/>
      </w:pPr>
    </w:lvl>
    <w:lvl w:ilvl="4" w:tplc="E0BC31C8">
      <w:start w:val="1"/>
      <w:numFmt w:val="bullet"/>
      <w:lvlText w:val="○"/>
      <w:lvlJc w:val="left"/>
      <w:pPr>
        <w:ind w:left="3600" w:hanging="360"/>
      </w:pPr>
    </w:lvl>
    <w:lvl w:ilvl="5" w:tplc="2B0A6A8A">
      <w:start w:val="1"/>
      <w:numFmt w:val="bullet"/>
      <w:lvlText w:val="■"/>
      <w:lvlJc w:val="left"/>
      <w:pPr>
        <w:ind w:left="4320" w:hanging="360"/>
      </w:pPr>
    </w:lvl>
    <w:lvl w:ilvl="6" w:tplc="BE5AF288">
      <w:start w:val="1"/>
      <w:numFmt w:val="bullet"/>
      <w:lvlText w:val="●"/>
      <w:lvlJc w:val="left"/>
      <w:pPr>
        <w:ind w:left="5040" w:hanging="360"/>
      </w:pPr>
    </w:lvl>
    <w:lvl w:ilvl="7" w:tplc="E638914E">
      <w:start w:val="1"/>
      <w:numFmt w:val="bullet"/>
      <w:lvlText w:val="●"/>
      <w:lvlJc w:val="left"/>
      <w:pPr>
        <w:ind w:left="5760" w:hanging="360"/>
      </w:pPr>
    </w:lvl>
    <w:lvl w:ilvl="8" w:tplc="C908AF1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651"/>
    <w:rsid w:val="00976288"/>
    <w:rsid w:val="00A0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3D4BF1E"/>
  <w15:docId w15:val="{D86428C3-39CA-C74C-94A3-3A1A7D41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300" w:after="150"/>
      <w:outlineLvl w:val="0"/>
    </w:pPr>
    <w:rPr>
      <w:b/>
      <w:bCs/>
      <w:sz w:val="26"/>
      <w:szCs w:val="26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gdgs@sg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Nadja Haddon</cp:lastModifiedBy>
  <cp:revision>2</cp:revision>
  <dcterms:created xsi:type="dcterms:W3CDTF">2026-01-09T09:02:00Z</dcterms:created>
  <dcterms:modified xsi:type="dcterms:W3CDTF">2026-01-12T12:03:00Z</dcterms:modified>
</cp:coreProperties>
</file>